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DC886">
      <w:pPr>
        <w:pStyle w:val="4"/>
        <w:ind w:firstLine="360" w:firstLineChars="200"/>
        <w:jc w:val="both"/>
        <w:rPr>
          <w:rFonts w:hint="eastAsia"/>
          <w:color w:val="000000"/>
        </w:rPr>
      </w:pPr>
      <w:r>
        <w:rPr>
          <w:color w:val="00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2868295</wp:posOffset>
                </wp:positionH>
                <wp:positionV relativeFrom="paragraph">
                  <wp:posOffset>130810</wp:posOffset>
                </wp:positionV>
                <wp:extent cx="3200400" cy="2334260"/>
                <wp:effectExtent l="0" t="0" r="0" b="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334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9AD4CE8">
                            <w:pPr>
                              <w:widowControl/>
                              <w:tabs>
                                <w:tab w:val="left" w:pos="315"/>
                              </w:tabs>
                              <w:spacing w:after="156" w:afterLines="50"/>
                              <w:ind w:left="420" w:hanging="420"/>
                              <w:rPr>
                                <w:rFonts w:ascii="黑体" w:hAnsi="黑体" w:eastAsia="黑体"/>
                                <w:b/>
                                <w:bCs/>
                                <w:shd w:val="clear" w:color="auto" w:fill="000000"/>
                              </w:rPr>
                            </w:pPr>
                            <w:r>
                              <w:rPr>
                                <w:rFonts w:ascii="黑体" w:hAnsi="黑体" w:eastAsia="黑体"/>
                                <w:b/>
                                <w:bCs/>
                                <w:color w:val="FFFFFF" w:themeColor="background1"/>
                                <w:shd w:val="clear" w:color="auto" w:fill="00000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ab/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bCs/>
                                <w:color w:val="FFFFFF" w:themeColor="background1"/>
                                <w:shd w:val="clear" w:color="auto" w:fill="00000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Product Overview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bCs/>
                                <w:shd w:val="clear" w:color="auto" w:fill="000000"/>
                              </w:rPr>
                              <w:t xml:space="preserve"> </w:t>
                            </w:r>
                            <w:r>
                              <w:rPr>
                                <w:rFonts w:ascii="黑体" w:hAnsi="黑体" w:eastAsia="黑体"/>
                                <w:b/>
                                <w:bCs/>
                                <w:shd w:val="clear" w:color="auto" w:fill="000000"/>
                              </w:rPr>
                              <w:t xml:space="preserve">  </w:t>
                            </w:r>
                          </w:p>
                          <w:p w14:paraId="48DCA521">
                            <w:pPr>
                              <w:widowControl/>
                              <w:rPr>
                                <w:rFonts w:ascii="Arial" w:hAnsi="Arial" w:cs="Arial"/>
                                <w:bCs/>
                                <w:color w:val="222222"/>
                                <w:kern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 w:ascii="Arial" w:hAnsi="Arial" w:cs="Arial"/>
                                <w:bCs/>
                                <w:color w:val="222222"/>
                                <w:kern w:val="0"/>
                                <w:sz w:val="16"/>
                                <w:szCs w:val="16"/>
                              </w:rPr>
                              <w:t>Daytime Visibility Range: 1000m ~ 5000m</w:t>
                            </w:r>
                          </w:p>
                          <w:p w14:paraId="5DD39F93">
                            <w:pPr>
                              <w:widowControl/>
                              <w:rPr>
                                <w:rFonts w:hint="eastAsia" w:ascii="Arial" w:hAnsi="Arial" w:cs="Arial"/>
                                <w:bCs/>
                                <w:color w:val="222222"/>
                                <w:kern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bCs/>
                                <w:color w:val="222222"/>
                                <w:kern w:val="0"/>
                                <w:sz w:val="16"/>
                                <w:szCs w:val="16"/>
                              </w:rPr>
                              <w:t>Nighttime Visibility Range: 500m ~ 1000m</w:t>
                            </w:r>
                          </w:p>
                          <w:p w14:paraId="341B22E7">
                            <w:pPr>
                              <w:widowControl/>
                              <w:rPr>
                                <w:rFonts w:hint="default" w:ascii="Arial" w:hAnsi="Arial" w:cs="Arial"/>
                                <w:bCs/>
                                <w:color w:val="222222"/>
                                <w:kern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bCs/>
                                <w:color w:val="222222"/>
                                <w:kern w:val="0"/>
                                <w:sz w:val="16"/>
                                <w:szCs w:val="16"/>
                              </w:rPr>
                              <w:t>Detection Range: 150m ~ 5000m</w:t>
                            </w:r>
                          </w:p>
                          <w:p w14:paraId="132D9359">
                            <w:pPr>
                              <w:widowControl/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0F1115"/>
                                <w:spacing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bCs/>
                                <w:color w:val="222222"/>
                                <w:kern w:val="0"/>
                                <w:sz w:val="16"/>
                                <w:szCs w:val="16"/>
                              </w:rPr>
                              <w:t>Product Features: High Speed &amp; Agile, Artificial Intelligence, No Blind Spots, Dual-Spectrum</w:t>
                            </w:r>
                          </w:p>
                          <w:p w14:paraId="7C431F44">
                            <w:pPr>
                              <w:widowControl/>
                              <w:ind w:left="797" w:hanging="796" w:hangingChars="498"/>
                              <w:rPr>
                                <w:rFonts w:hint="default" w:ascii="Arial" w:hAnsi="Arial" w:cs="Arial"/>
                                <w:bCs/>
                                <w:color w:val="222222"/>
                                <w:kern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default" w:ascii="Arial" w:hAnsi="Arial" w:cs="Arial"/>
                                <w:bCs/>
                                <w:color w:val="222222"/>
                                <w:kern w:val="0"/>
                                <w:sz w:val="16"/>
                                <w:szCs w:val="16"/>
                              </w:rPr>
                              <w:t>Application Areas: Vehicle Patrol, Safety Production, Urban Surveillance, Power Energy, Roads &amp; Bridges, Forest Fire Prevention, Ecological Protection, Water Conservancy &amp; Lakes, Ports &amp; Docks, Barracks, Bases, etc.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5.85pt;margin-top:10.3pt;height:183.8pt;width:252pt;z-index:251662336;mso-width-relative:page;mso-height-relative:page;" filled="f" stroked="f" coordsize="21600,21600" o:gfxdata="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RnBN9tcAAAAKAQAADwAAAAAAAAABACAAAAAiAAAAZHJzL2Rvd25yZXYu&#10;eG1sUEsBAhQAFAAAAAgAh07iQJQ9MB3DAQAAeQMAAA4AAAAAAAAAAQAgAAAAJgEAAGRycy9lMm9E&#10;b2MueG1sUEsFBgAAAAAGAAYAWQEAAFs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49AD4CE8">
                      <w:pPr>
                        <w:widowControl/>
                        <w:tabs>
                          <w:tab w:val="left" w:pos="315"/>
                        </w:tabs>
                        <w:spacing w:after="156" w:afterLines="50"/>
                        <w:ind w:left="420" w:hanging="420"/>
                        <w:rPr>
                          <w:rFonts w:ascii="黑体" w:hAnsi="黑体" w:eastAsia="黑体"/>
                          <w:b/>
                          <w:bCs/>
                          <w:shd w:val="clear" w:color="auto" w:fill="000000"/>
                        </w:rPr>
                      </w:pPr>
                      <w:r>
                        <w:rPr>
                          <w:rFonts w:ascii="黑体" w:hAnsi="黑体" w:eastAsia="黑体"/>
                          <w:b/>
                          <w:bCs/>
                          <w:color w:val="FFFFFF" w:themeColor="background1"/>
                          <w:shd w:val="clear" w:color="auto" w:fill="00000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ab/>
                      </w:r>
                      <w:r>
                        <w:rPr>
                          <w:rFonts w:hint="eastAsia" w:ascii="黑体" w:hAnsi="黑体" w:eastAsia="黑体"/>
                          <w:b/>
                          <w:bCs/>
                          <w:color w:val="FFFFFF" w:themeColor="background1"/>
                          <w:shd w:val="clear" w:color="auto" w:fill="00000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Product Overview</w:t>
                      </w:r>
                      <w:r>
                        <w:rPr>
                          <w:rFonts w:hint="eastAsia" w:ascii="黑体" w:hAnsi="黑体" w:eastAsia="黑体"/>
                          <w:b/>
                          <w:bCs/>
                          <w:shd w:val="clear" w:color="auto" w:fill="000000"/>
                        </w:rPr>
                        <w:t xml:space="preserve"> </w:t>
                      </w:r>
                      <w:r>
                        <w:rPr>
                          <w:rFonts w:ascii="黑体" w:hAnsi="黑体" w:eastAsia="黑体"/>
                          <w:b/>
                          <w:bCs/>
                          <w:shd w:val="clear" w:color="auto" w:fill="000000"/>
                        </w:rPr>
                        <w:t xml:space="preserve">  </w:t>
                      </w:r>
                    </w:p>
                    <w:p w14:paraId="48DCA521">
                      <w:pPr>
                        <w:widowControl/>
                        <w:rPr>
                          <w:rFonts w:ascii="Arial" w:hAnsi="Arial" w:cs="Arial"/>
                          <w:bCs/>
                          <w:color w:val="222222"/>
                          <w:kern w:val="0"/>
                          <w:sz w:val="16"/>
                          <w:szCs w:val="16"/>
                        </w:rPr>
                      </w:pPr>
                      <w:r>
                        <w:rPr>
                          <w:rFonts w:hint="eastAsia" w:ascii="Arial" w:hAnsi="Arial" w:cs="Arial"/>
                          <w:bCs/>
                          <w:color w:val="222222"/>
                          <w:kern w:val="0"/>
                          <w:sz w:val="16"/>
                          <w:szCs w:val="16"/>
                        </w:rPr>
                        <w:t>Daytime Visibility Range: 1000m ~ 5000m</w:t>
                      </w:r>
                    </w:p>
                    <w:p w14:paraId="5DD39F93">
                      <w:pPr>
                        <w:widowControl/>
                        <w:rPr>
                          <w:rFonts w:hint="eastAsia" w:ascii="Arial" w:hAnsi="Arial" w:cs="Arial"/>
                          <w:bCs/>
                          <w:color w:val="222222"/>
                          <w:kern w:val="0"/>
                          <w:sz w:val="16"/>
                          <w:szCs w:val="16"/>
                        </w:rPr>
                      </w:pPr>
                      <w:r>
                        <w:rPr>
                          <w:rFonts w:hint="default" w:ascii="Arial" w:hAnsi="Arial" w:cs="Arial"/>
                          <w:bCs/>
                          <w:color w:val="222222"/>
                          <w:kern w:val="0"/>
                          <w:sz w:val="16"/>
                          <w:szCs w:val="16"/>
                        </w:rPr>
                        <w:t>Nighttime Visibility Range: 500m ~ 1000m</w:t>
                      </w:r>
                    </w:p>
                    <w:p w14:paraId="341B22E7">
                      <w:pPr>
                        <w:widowControl/>
                        <w:rPr>
                          <w:rFonts w:hint="default" w:ascii="Arial" w:hAnsi="Arial" w:cs="Arial"/>
                          <w:bCs/>
                          <w:color w:val="222222"/>
                          <w:kern w:val="0"/>
                          <w:sz w:val="16"/>
                          <w:szCs w:val="16"/>
                        </w:rPr>
                      </w:pPr>
                      <w:r>
                        <w:rPr>
                          <w:rFonts w:hint="default" w:ascii="Arial" w:hAnsi="Arial" w:cs="Arial"/>
                          <w:bCs/>
                          <w:color w:val="222222"/>
                          <w:kern w:val="0"/>
                          <w:sz w:val="16"/>
                          <w:szCs w:val="16"/>
                        </w:rPr>
                        <w:t>Detection Range: 150m ~ 5000m</w:t>
                      </w:r>
                    </w:p>
                    <w:p w14:paraId="132D9359">
                      <w:pPr>
                        <w:widowControl/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0F1115"/>
                          <w:spacing w:val="0"/>
                          <w:sz w:val="24"/>
                          <w:szCs w:val="24"/>
                        </w:rPr>
                      </w:pPr>
                      <w:r>
                        <w:rPr>
                          <w:rFonts w:hint="default" w:ascii="Arial" w:hAnsi="Arial" w:cs="Arial"/>
                          <w:bCs/>
                          <w:color w:val="222222"/>
                          <w:kern w:val="0"/>
                          <w:sz w:val="16"/>
                          <w:szCs w:val="16"/>
                        </w:rPr>
                        <w:t>Product Features: High Speed &amp; Agile, Artificial Intelligence, No Blind Spots, Dual-Spectrum</w:t>
                      </w:r>
                    </w:p>
                    <w:p w14:paraId="7C431F44">
                      <w:pPr>
                        <w:widowControl/>
                        <w:ind w:left="797" w:hanging="796" w:hangingChars="498"/>
                        <w:rPr>
                          <w:rFonts w:hint="default" w:ascii="Arial" w:hAnsi="Arial" w:cs="Arial"/>
                          <w:bCs/>
                          <w:color w:val="222222"/>
                          <w:kern w:val="0"/>
                          <w:sz w:val="16"/>
                          <w:szCs w:val="16"/>
                        </w:rPr>
                      </w:pPr>
                      <w:r>
                        <w:rPr>
                          <w:rFonts w:hint="default" w:ascii="Arial" w:hAnsi="Arial" w:cs="Arial"/>
                          <w:bCs/>
                          <w:color w:val="222222"/>
                          <w:kern w:val="0"/>
                          <w:sz w:val="16"/>
                          <w:szCs w:val="16"/>
                        </w:rPr>
                        <w:t>Application Areas: Vehicle Patrol, Safety Production, Urban Surveillance, Power Energy, Roads &amp; Bridges, Forest Fire Prevention, Ecological Protection, Water Conservancy &amp; Lakes, Ports &amp; Docks, Barracks, Bases, etc.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color w:val="000000"/>
        </w:rPr>
        <w:t>　</w:t>
      </w:r>
    </w:p>
    <w:p w14:paraId="53EB92B6">
      <w:pPr>
        <w:pStyle w:val="4"/>
        <w:jc w:val="both"/>
        <w:rPr>
          <w:rFonts w:hint="eastAsia"/>
          <w:color w:val="000000"/>
        </w:rPr>
      </w:pPr>
    </w:p>
    <w:p w14:paraId="3C4EA7DD">
      <w:pPr>
        <w:pStyle w:val="4"/>
        <w:jc w:val="both"/>
        <w:rPr>
          <w:rFonts w:hint="eastAsia"/>
          <w:color w:val="000000"/>
        </w:rPr>
      </w:pPr>
      <w:r>
        <w:rPr>
          <w:color w:val="000000"/>
        </w:rPr>
        <w:drawing>
          <wp:inline distT="0" distB="0" distL="114300" distR="114300">
            <wp:extent cx="2517140" cy="1665605"/>
            <wp:effectExtent l="0" t="0" r="16510" b="10795"/>
            <wp:docPr id="1" name="图片 1" descr="双光-中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双光-中性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17140" cy="166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5156C">
      <w:pPr>
        <w:pStyle w:val="4"/>
        <w:jc w:val="both"/>
        <w:rPr>
          <w:rFonts w:hint="eastAsia"/>
          <w:color w:val="000000"/>
        </w:rPr>
      </w:pPr>
    </w:p>
    <w:p w14:paraId="0B57A72F">
      <w:pPr>
        <w:pStyle w:val="4"/>
        <w:jc w:val="both"/>
        <w:rPr>
          <w:color w:val="000000"/>
        </w:rPr>
      </w:pPr>
    </w:p>
    <w:p w14:paraId="7BAD4B83">
      <w:pPr>
        <w:pStyle w:val="4"/>
        <w:jc w:val="both"/>
        <w:rPr>
          <w:color w:val="000000"/>
        </w:rPr>
      </w:pPr>
    </w:p>
    <w:p w14:paraId="5346083D">
      <w:pPr>
        <w:pStyle w:val="4"/>
        <w:jc w:val="both"/>
        <w:rPr>
          <w:rFonts w:hint="eastAsia"/>
          <w:color w:val="000000"/>
        </w:rPr>
      </w:pPr>
      <w:r>
        <w:rPr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491490</wp:posOffset>
                </wp:positionH>
                <wp:positionV relativeFrom="page">
                  <wp:posOffset>3256280</wp:posOffset>
                </wp:positionV>
                <wp:extent cx="3263900" cy="6370955"/>
                <wp:effectExtent l="0" t="0" r="0" b="0"/>
                <wp:wrapTopAndBottom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3900" cy="6370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4F32616">
                            <w:pPr>
                              <w:widowControl/>
                              <w:tabs>
                                <w:tab w:val="left" w:pos="315"/>
                              </w:tabs>
                              <w:spacing w:after="156" w:afterLines="50"/>
                              <w:ind w:left="420" w:hanging="420"/>
                              <w:rPr>
                                <w:rFonts w:ascii="Arial" w:hAnsi="Arial" w:eastAsia="黑体" w:cs="Arial"/>
                                <w:b/>
                                <w:bCs/>
                                <w:shd w:val="clear" w:color="auto" w:fill="000000"/>
                              </w:rPr>
                            </w:pPr>
                            <w:r>
                              <w:rPr>
                                <w:rFonts w:ascii="Arial" w:hAnsi="Arial" w:eastAsia="黑体" w:cs="Arial"/>
                                <w:b/>
                                <w:bCs/>
                                <w:color w:val="FFFFFF" w:themeColor="background1"/>
                                <w:shd w:val="clear" w:color="auto" w:fill="00000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ab/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bCs/>
                                <w:color w:val="FFFFFF" w:themeColor="background1"/>
                                <w:shd w:val="clear" w:color="auto" w:fill="00000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Features</w:t>
                            </w:r>
                            <w:r>
                              <w:rPr>
                                <w:rFonts w:ascii="Arial" w:hAnsi="Arial" w:eastAsia="黑体" w:cs="Arial"/>
                                <w:b/>
                                <w:bCs/>
                                <w:shd w:val="clear" w:color="auto" w:fill="000000"/>
                              </w:rPr>
                              <w:t xml:space="preserve">   </w:t>
                            </w:r>
                          </w:p>
                          <w:p w14:paraId="21583B3D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420"/>
                              </w:tabs>
                              <w:ind w:left="284" w:hanging="284"/>
                              <w:rPr>
                                <w:rFonts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Dual-Spectrum: Combines thermal imaging and high-definition visible light for complementary detection, enabling round-the-clock, wide-area rapid search and close-range clear target observation</w:t>
                            </w:r>
                          </w:p>
                          <w:p w14:paraId="39CC3C0F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420"/>
                              </w:tabs>
                              <w:ind w:left="284" w:hanging="284"/>
                              <w:rPr>
                                <w:rFonts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Equipped with electronic and optical defogging, unaffected by sandstorms, fog, rain, snow, etc</w:t>
                            </w:r>
                          </w:p>
                          <w:p w14:paraId="7082C63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420"/>
                              </w:tabs>
                              <w:ind w:left="284" w:hanging="284"/>
                              <w:rPr>
                                <w:rFonts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Visible light camera features image enhancement, starlight technology, supports image stabilization, heat haze suppression, stable image under vibration, clear image under intense sun, no crawling texture</w:t>
                            </w:r>
                          </w:p>
                          <w:p w14:paraId="62A9CCCF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420"/>
                              </w:tabs>
                              <w:ind w:left="284" w:hanging="284"/>
                              <w:rPr>
                                <w:rFonts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Thermal imager features image detail enhancement, black-hot/white-hot polarity switching, multiple pseudo-color palettes</w:t>
                            </w:r>
                          </w:p>
                          <w:p w14:paraId="6C97FE60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420"/>
                              </w:tabs>
                              <w:ind w:left="284" w:hanging="284"/>
                              <w:rPr>
                                <w:rFonts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Supports absolute positioning, relative positioning, and GPS coordinate positioning; compatible with radar and other detection devices, reducing system debugging time</w:t>
                            </w:r>
                          </w:p>
                          <w:p w14:paraId="6C5BE54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420"/>
                              </w:tabs>
                              <w:ind w:left="284" w:hanging="284"/>
                              <w:rPr>
                                <w:rFonts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During radar linkage, there is no autofocus process, allowing the target image to appear clear immediately, facilitating target tracking</w:t>
                            </w:r>
                          </w:p>
                          <w:p w14:paraId="1F85F89B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420"/>
                              </w:tabs>
                              <w:ind w:left="284" w:hanging="284"/>
                              <w:rPr>
                                <w:rFonts w:hint="eastAsia"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Predictive PID algorithm for moving targets, seamless integration with radar tracking, solves the problem of tracking targets in radar blind spots</w:t>
                            </w:r>
                          </w:p>
                          <w:p w14:paraId="3829B81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420"/>
                              </w:tabs>
                              <w:ind w:left="284" w:hanging="284"/>
                              <w:rPr>
                                <w:rFonts w:hint="eastAsia"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Actively uploads azimuth angle, field of view, focal length value, and focus value</w:t>
                            </w:r>
                          </w:p>
                          <w:p w14:paraId="31F64E46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420"/>
                              </w:tabs>
                              <w:ind w:left="284" w:hanging="284"/>
                              <w:rPr>
                                <w:rFonts w:hint="eastAsia"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Supports stepless speed control, speed resolution 0.01°</w:t>
                            </w:r>
                          </w:p>
                          <w:p w14:paraId="3C4BE91E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420"/>
                              </w:tabs>
                              <w:ind w:left="284" w:hanging="284"/>
                              <w:rPr>
                                <w:rFonts w:hint="eastAsia"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Continuous 360° horizontal rotation, -90° to +90° vertical tilt, completely eliminating blind spots</w:t>
                            </w:r>
                          </w:p>
                          <w:p w14:paraId="4A2DCAA3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420"/>
                              </w:tabs>
                              <w:ind w:left="284" w:hanging="284"/>
                              <w:rPr>
                                <w:rFonts w:hint="eastAsia"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Ultra-quiet PTZ drive technology, suitable for noise-sensitive areas</w:t>
                            </w:r>
                          </w:p>
                          <w:p w14:paraId="2BE4264D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420"/>
                              </w:tabs>
                              <w:ind w:left="284" w:hanging="284"/>
                              <w:rPr>
                                <w:rFonts w:hint="eastAsia"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Surge and lightning protection, effective protection range 2500VA</w:t>
                            </w:r>
                          </w:p>
                          <w:p w14:paraId="0B15AE7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420"/>
                              </w:tabs>
                              <w:ind w:left="284" w:hanging="284"/>
                              <w:rPr>
                                <w:rFonts w:hint="eastAsia"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Intelligent Temperature Control: Variable power heater, ultra-low temperature startup, automatic cooling fan</w:t>
                            </w:r>
                          </w:p>
                          <w:p w14:paraId="34803EF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420"/>
                              </w:tabs>
                              <w:ind w:left="284" w:hanging="284"/>
                              <w:rPr>
                                <w:rFonts w:hint="eastAsia"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IP67 protection rating</w:t>
                            </w:r>
                          </w:p>
                          <w:p w14:paraId="1DBF0E11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420"/>
                              </w:tabs>
                              <w:ind w:left="284" w:hanging="284"/>
                              <w:rPr>
                                <w:rFonts w:hint="eastAsia"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Arial" w:hAnsi="Arial" w:cs="Arial"/>
                                <w:color w:val="000000"/>
                                <w:kern w:val="0"/>
                                <w:sz w:val="15"/>
                                <w:szCs w:val="15"/>
                              </w:rPr>
                              <w:t>Small integrated design, total unit weight 8 kg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.7pt;margin-top:256.4pt;height:501.65pt;width:257pt;mso-position-horizontal-relative:page;mso-position-vertical-relative:page;mso-wrap-distance-bottom:0pt;mso-wrap-distance-top:0pt;z-index:251659264;mso-width-relative:page;mso-height-relative:page;" filled="f" stroked="f" coordsize="21600,21600" o:gfxdata="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NQDQ6rXAAAACwEAAA8AAAAAAAAAAQAgAAAAIgAAAGRycy9kb3ducmV2&#10;LnhtbFBLAQIUABQAAAAIAIdO4kASsbO5xAEAAHcDAAAOAAAAAAAAAAEAIAAAACYBAABkcnMvZTJv&#10;RG9jLnhtbFBLBQYAAAAABgAGAFkBAABc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64F32616">
                      <w:pPr>
                        <w:widowControl/>
                        <w:tabs>
                          <w:tab w:val="left" w:pos="315"/>
                        </w:tabs>
                        <w:spacing w:after="156" w:afterLines="50"/>
                        <w:ind w:left="420" w:hanging="420"/>
                        <w:rPr>
                          <w:rFonts w:ascii="Arial" w:hAnsi="Arial" w:eastAsia="黑体" w:cs="Arial"/>
                          <w:b/>
                          <w:bCs/>
                          <w:shd w:val="clear" w:color="auto" w:fill="000000"/>
                        </w:rPr>
                      </w:pPr>
                      <w:r>
                        <w:rPr>
                          <w:rFonts w:ascii="Arial" w:hAnsi="Arial" w:eastAsia="黑体" w:cs="Arial"/>
                          <w:b/>
                          <w:bCs/>
                          <w:color w:val="FFFFFF" w:themeColor="background1"/>
                          <w:shd w:val="clear" w:color="auto" w:fill="00000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ab/>
                      </w:r>
                      <w:r>
                        <w:rPr>
                          <w:rFonts w:hint="eastAsia" w:ascii="黑体" w:hAnsi="黑体" w:eastAsia="黑体"/>
                          <w:b/>
                          <w:bCs/>
                          <w:color w:val="FFFFFF" w:themeColor="background1"/>
                          <w:shd w:val="clear" w:color="auto" w:fill="00000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Features</w:t>
                      </w:r>
                      <w:r>
                        <w:rPr>
                          <w:rFonts w:ascii="Arial" w:hAnsi="Arial" w:eastAsia="黑体" w:cs="Arial"/>
                          <w:b/>
                          <w:bCs/>
                          <w:shd w:val="clear" w:color="auto" w:fill="000000"/>
                        </w:rPr>
                        <w:t xml:space="preserve">   </w:t>
                      </w:r>
                    </w:p>
                    <w:p w14:paraId="21583B3D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420"/>
                        </w:tabs>
                        <w:ind w:left="284" w:hanging="284"/>
                        <w:rPr>
                          <w:rFonts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  <w:t>Dual-Spectrum: Combines thermal imaging and high-definition visible light for complementary detection, enabling round-the-clock, wide-area rapid search and close-range clear target observation</w:t>
                      </w:r>
                    </w:p>
                    <w:p w14:paraId="39CC3C0F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420"/>
                        </w:tabs>
                        <w:ind w:left="284" w:hanging="284"/>
                        <w:rPr>
                          <w:rFonts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  <w:t>Equipped with electronic and optical defogging, unaffected by sandstorms, fog, rain, snow, etc</w:t>
                      </w:r>
                    </w:p>
                    <w:p w14:paraId="7082C63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420"/>
                        </w:tabs>
                        <w:ind w:left="284" w:hanging="284"/>
                        <w:rPr>
                          <w:rFonts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  <w:t>Visible light camera features image enhancement, starlight technology, supports image stabilization, heat haze suppression, stable image under vibration, clear image under intense sun, no crawling texture</w:t>
                      </w:r>
                    </w:p>
                    <w:p w14:paraId="62A9CCCF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420"/>
                        </w:tabs>
                        <w:ind w:left="284" w:hanging="284"/>
                        <w:rPr>
                          <w:rFonts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  <w:t>Thermal imager features image detail enhancement, black-hot/white-hot polarity switching, multiple pseudo-color palettes</w:t>
                      </w:r>
                    </w:p>
                    <w:p w14:paraId="6C97FE60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420"/>
                        </w:tabs>
                        <w:ind w:left="284" w:hanging="284"/>
                        <w:rPr>
                          <w:rFonts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  <w:t>Supports absolute positioning, relative positioning, and GPS coordinate positioning; compatible with radar and other detection devices, reducing system debugging time</w:t>
                      </w:r>
                    </w:p>
                    <w:p w14:paraId="6C5BE547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420"/>
                        </w:tabs>
                        <w:ind w:left="284" w:hanging="284"/>
                        <w:rPr>
                          <w:rFonts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</w:pPr>
                      <w:r>
                        <w:rPr>
                          <w:rFonts w:hint="eastAsia"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  <w:t>During radar linkage, there is no autofocus process, allowing the target image to appear clear immediately, facilitating target tracking</w:t>
                      </w:r>
                    </w:p>
                    <w:p w14:paraId="1F85F89B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420"/>
                        </w:tabs>
                        <w:ind w:left="284" w:hanging="284"/>
                        <w:rPr>
                          <w:rFonts w:hint="eastAsia"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</w:pPr>
                      <w:r>
                        <w:rPr>
                          <w:rFonts w:hint="eastAsia"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  <w:t>Predictive PID algorithm for moving targets, seamless integration with radar tracking, solves the problem of tracking targets in radar blind spots</w:t>
                      </w:r>
                    </w:p>
                    <w:p w14:paraId="3829B815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420"/>
                        </w:tabs>
                        <w:ind w:left="284" w:hanging="284"/>
                        <w:rPr>
                          <w:rFonts w:hint="eastAsia"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</w:pPr>
                      <w:r>
                        <w:rPr>
                          <w:rFonts w:hint="eastAsia"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  <w:t>Actively uploads azimuth angle, field of view, focal length value, and focus value</w:t>
                      </w:r>
                    </w:p>
                    <w:p w14:paraId="31F64E46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420"/>
                        </w:tabs>
                        <w:ind w:left="284" w:hanging="284"/>
                        <w:rPr>
                          <w:rFonts w:hint="eastAsia"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</w:pPr>
                      <w:r>
                        <w:rPr>
                          <w:rFonts w:hint="eastAsia"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  <w:t>Supports stepless speed control, speed resolution 0.01°</w:t>
                      </w:r>
                    </w:p>
                    <w:p w14:paraId="3C4BE91E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420"/>
                        </w:tabs>
                        <w:ind w:left="284" w:hanging="284"/>
                        <w:rPr>
                          <w:rFonts w:hint="eastAsia"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</w:pPr>
                      <w:r>
                        <w:rPr>
                          <w:rFonts w:hint="eastAsia"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  <w:t>Continuous 360° horizontal rotation, -90° to +90° vertical tilt, completely eliminating blind spots</w:t>
                      </w:r>
                    </w:p>
                    <w:p w14:paraId="4A2DCAA3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420"/>
                        </w:tabs>
                        <w:ind w:left="284" w:hanging="284"/>
                        <w:rPr>
                          <w:rFonts w:hint="eastAsia"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</w:pPr>
                      <w:r>
                        <w:rPr>
                          <w:rFonts w:hint="eastAsia"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  <w:t>Ultra-quiet PTZ drive technology, suitable for noise-sensitive areas</w:t>
                      </w:r>
                    </w:p>
                    <w:p w14:paraId="2BE4264D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420"/>
                        </w:tabs>
                        <w:ind w:left="284" w:hanging="284"/>
                        <w:rPr>
                          <w:rFonts w:hint="eastAsia"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</w:pPr>
                      <w:r>
                        <w:rPr>
                          <w:rFonts w:hint="eastAsia"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  <w:t>Surge and lightning protection, effective protection range 2500VA</w:t>
                      </w:r>
                    </w:p>
                    <w:p w14:paraId="0B15AE7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420"/>
                        </w:tabs>
                        <w:ind w:left="284" w:hanging="284"/>
                        <w:rPr>
                          <w:rFonts w:hint="eastAsia"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</w:pPr>
                      <w:r>
                        <w:rPr>
                          <w:rFonts w:hint="eastAsia"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  <w:t>Intelligent Temperature Control: Variable power heater, ultra-low temperature startup, automatic cooling fan</w:t>
                      </w:r>
                    </w:p>
                    <w:p w14:paraId="34803EF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420"/>
                        </w:tabs>
                        <w:ind w:left="284" w:hanging="284"/>
                        <w:rPr>
                          <w:rFonts w:hint="eastAsia"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</w:pPr>
                      <w:r>
                        <w:rPr>
                          <w:rFonts w:hint="eastAsia"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  <w:t>IP67 protection rating</w:t>
                      </w:r>
                    </w:p>
                    <w:p w14:paraId="1DBF0E11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420"/>
                        </w:tabs>
                        <w:ind w:left="284" w:hanging="284"/>
                        <w:rPr>
                          <w:rFonts w:hint="eastAsia"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</w:pPr>
                      <w:r>
                        <w:rPr>
                          <w:rFonts w:hint="eastAsia" w:ascii="Arial" w:hAnsi="Arial" w:cs="Arial"/>
                          <w:color w:val="000000"/>
                          <w:kern w:val="0"/>
                          <w:sz w:val="15"/>
                          <w:szCs w:val="15"/>
                        </w:rPr>
                        <w:t>Small integrated design, total unit weight 8 kg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00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2900680</wp:posOffset>
                </wp:positionH>
                <wp:positionV relativeFrom="paragraph">
                  <wp:posOffset>122555</wp:posOffset>
                </wp:positionV>
                <wp:extent cx="3131820" cy="6427470"/>
                <wp:effectExtent l="0" t="0" r="0" b="0"/>
                <wp:wrapTopAndBottom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1820" cy="6427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342A086">
                            <w:pPr>
                              <w:widowControl/>
                              <w:tabs>
                                <w:tab w:val="left" w:pos="315"/>
                              </w:tabs>
                              <w:spacing w:after="156" w:afterLines="50"/>
                              <w:ind w:left="420" w:hanging="420"/>
                              <w:rPr>
                                <w:rFonts w:ascii="Arial" w:hAnsi="Arial" w:eastAsia="黑体" w:cs="Arial"/>
                                <w:b/>
                                <w:bCs/>
                                <w:szCs w:val="21"/>
                                <w:shd w:val="clear" w:color="auto" w:fill="000000"/>
                              </w:rPr>
                            </w:pPr>
                            <w:r>
                              <w:rPr>
                                <w:rFonts w:ascii="Arial" w:hAnsi="Arial" w:eastAsia="黑体" w:cs="Arial"/>
                                <w:b/>
                                <w:bCs/>
                                <w:color w:val="FFFFFF" w:themeColor="background1"/>
                                <w:szCs w:val="21"/>
                                <w:shd w:val="clear" w:color="auto" w:fill="00000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ab/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bCs/>
                                <w:color w:val="FFFFFF" w:themeColor="background1"/>
                                <w:shd w:val="clear" w:color="auto" w:fill="00000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Product Description</w:t>
                            </w:r>
                            <w:r>
                              <w:rPr>
                                <w:rFonts w:ascii="Arial" w:hAnsi="Arial" w:eastAsia="黑体" w:cs="Arial"/>
                                <w:b/>
                                <w:bCs/>
                                <w:szCs w:val="21"/>
                                <w:shd w:val="clear" w:color="auto" w:fill="000000"/>
                              </w:rPr>
                              <w:t xml:space="preserve">   </w:t>
                            </w:r>
                          </w:p>
                          <w:p w14:paraId="0099F327">
                            <w:pPr>
                              <w:widowControl/>
                              <w:ind w:firstLine="320" w:firstLineChars="200"/>
                              <w:rPr>
                                <w:rFonts w:ascii="Arial" w:hAnsi="Arial" w:cs="Arial"/>
                                <w:color w:val="222222"/>
                                <w:kern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222222"/>
                                <w:kern w:val="0"/>
                                <w:sz w:val="16"/>
                                <w:szCs w:val="16"/>
                              </w:rPr>
                              <w:t>The AK-LF2000 Series Dual-Spectrum Integrated PTZ Camera is a high-performance camera specifically designed and developed for special applications, heat source monitoring, and long-range day/night surveillance.</w:t>
                            </w:r>
                          </w:p>
                          <w:p w14:paraId="7D4AD93A">
                            <w:pPr>
                              <w:widowControl/>
                              <w:ind w:firstLine="320" w:firstLineChars="200"/>
                              <w:rPr>
                                <w:rFonts w:hint="default" w:ascii="Arial" w:hAnsi="Arial" w:eastAsia="宋体" w:cs="Arial"/>
                                <w:color w:val="222222"/>
                                <w:kern w:val="0"/>
                                <w:sz w:val="16"/>
                                <w:szCs w:val="16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default" w:ascii="Arial" w:hAnsi="Arial" w:eastAsia="宋体" w:cs="Arial"/>
                                <w:color w:val="222222"/>
                                <w:kern w:val="0"/>
                                <w:sz w:val="16"/>
                                <w:szCs w:val="16"/>
                                <w:lang w:val="en-US" w:eastAsia="zh-CN" w:bidi="ar-SA"/>
                              </w:rPr>
                              <w:t>The product is based on the latest opto-mechatronic integration technologies: 6th generation uncooled infrared imaging technology, high-definition visible light imaging technology, high-speed precision small gimbal technology, edge computing (AI front-end) technology, and high-level field protection technology. This enables the device to "see far," "see clearly," and "understand what it sees" even in harsh outdoor environments.</w:t>
                            </w:r>
                          </w:p>
                          <w:p w14:paraId="0F6E5E87">
                            <w:pPr>
                              <w:widowControl/>
                              <w:ind w:firstLine="320" w:firstLineChars="200"/>
                              <w:rPr>
                                <w:rFonts w:hint="default" w:ascii="Arial" w:hAnsi="Arial" w:eastAsia="宋体" w:cs="Arial"/>
                                <w:color w:val="222222"/>
                                <w:kern w:val="0"/>
                                <w:sz w:val="16"/>
                                <w:szCs w:val="16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default" w:ascii="Arial" w:hAnsi="Arial" w:eastAsia="宋体" w:cs="Arial"/>
                                <w:color w:val="222222"/>
                                <w:kern w:val="0"/>
                                <w:sz w:val="16"/>
                                <w:szCs w:val="16"/>
                                <w:lang w:val="en-US" w:eastAsia="zh-CN" w:bidi="ar-SA"/>
                              </w:rPr>
                              <w:t>The thermal imager uses a high-sensitivity, ultra-high resolution uncooled detector, an athermalized compact infrared lens, and advanced image processing algorithms to provide smooth, detailed images. The visible light camera uses an integrated full-HD color/black-and-white dual-mode low-illumination core. The overall unit is small and lightweight, bringing great convenience to user installation and application. It is complemented by a 360° omnidirectional no-blind-spot high-speed PTZ, enabling target search over distances up to 5km. An embedded industrial-grade control system achieves highly stable control of the camera's zoom, focus, mode switching, and PTZ tilt/pan movements.</w:t>
                            </w:r>
                          </w:p>
                          <w:p w14:paraId="5FFE866A">
                            <w:pPr>
                              <w:widowControl/>
                              <w:ind w:firstLine="320" w:firstLineChars="200"/>
                              <w:rPr>
                                <w:rFonts w:hint="default" w:ascii="Arial" w:hAnsi="Arial" w:eastAsia="宋体" w:cs="Arial"/>
                                <w:color w:val="222222"/>
                                <w:kern w:val="0"/>
                                <w:sz w:val="16"/>
                                <w:szCs w:val="16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default" w:ascii="Arial" w:hAnsi="Arial" w:eastAsia="宋体" w:cs="Arial"/>
                                <w:color w:val="222222"/>
                                <w:kern w:val="0"/>
                                <w:sz w:val="16"/>
                                <w:szCs w:val="16"/>
                                <w:lang w:val="en-US" w:eastAsia="zh-CN" w:bidi="ar-SA"/>
                              </w:rPr>
                              <w:t>The AK-LF2000 series housing is made of high-strength aluminum alloy, featuring a robust and fully sealed structure, achieving an IP67 protection rating. The surface is coated for oxidation resistance and anti-salt fog protection, ensuring long-term stable operation in harsh outdoor environments.</w:t>
                            </w:r>
                          </w:p>
                          <w:p w14:paraId="360E51D1">
                            <w:pPr>
                              <w:widowControl/>
                              <w:ind w:firstLine="320" w:firstLineChars="200"/>
                              <w:rPr>
                                <w:rFonts w:ascii="Arial" w:hAnsi="Arial" w:cs="Arial"/>
                                <w:color w:val="222222"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8.4pt;margin-top:9.65pt;height:506.1pt;width:246.6pt;mso-wrap-distance-bottom:0pt;mso-wrap-distance-top:0pt;z-index:251663360;mso-width-relative:page;mso-height-relative:page;" filled="f" stroked="f" coordsize="21600,21600" o:gfxdata="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DsYa3vWAAAACgEAAA8AAAAAAAAAAQAgAAAAIgAAAGRycy9kb3ducmV2&#10;LnhtbFBLAQIUABQAAAAIAIdO4kAmShRjxQEAAHkDAAAOAAAAAAAAAAEAIAAAACUBAABkcnMvZTJv&#10;RG9jLnhtbFBLBQYAAAAABgAGAFkBAABc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3342A086">
                      <w:pPr>
                        <w:widowControl/>
                        <w:tabs>
                          <w:tab w:val="left" w:pos="315"/>
                        </w:tabs>
                        <w:spacing w:after="156" w:afterLines="50"/>
                        <w:ind w:left="420" w:hanging="420"/>
                        <w:rPr>
                          <w:rFonts w:ascii="Arial" w:hAnsi="Arial" w:eastAsia="黑体" w:cs="Arial"/>
                          <w:b/>
                          <w:bCs/>
                          <w:szCs w:val="21"/>
                          <w:shd w:val="clear" w:color="auto" w:fill="000000"/>
                        </w:rPr>
                      </w:pPr>
                      <w:r>
                        <w:rPr>
                          <w:rFonts w:ascii="Arial" w:hAnsi="Arial" w:eastAsia="黑体" w:cs="Arial"/>
                          <w:b/>
                          <w:bCs/>
                          <w:color w:val="FFFFFF" w:themeColor="background1"/>
                          <w:szCs w:val="21"/>
                          <w:shd w:val="clear" w:color="auto" w:fill="00000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ab/>
                      </w:r>
                      <w:r>
                        <w:rPr>
                          <w:rFonts w:hint="eastAsia" w:ascii="黑体" w:hAnsi="黑体" w:eastAsia="黑体"/>
                          <w:b/>
                          <w:bCs/>
                          <w:color w:val="FFFFFF" w:themeColor="background1"/>
                          <w:shd w:val="clear" w:color="auto" w:fill="00000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Product Description</w:t>
                      </w:r>
                      <w:r>
                        <w:rPr>
                          <w:rFonts w:ascii="Arial" w:hAnsi="Arial" w:eastAsia="黑体" w:cs="Arial"/>
                          <w:b/>
                          <w:bCs/>
                          <w:szCs w:val="21"/>
                          <w:shd w:val="clear" w:color="auto" w:fill="000000"/>
                        </w:rPr>
                        <w:t xml:space="preserve">   </w:t>
                      </w:r>
                    </w:p>
                    <w:p w14:paraId="0099F327">
                      <w:pPr>
                        <w:widowControl/>
                        <w:ind w:firstLine="320" w:firstLineChars="200"/>
                        <w:rPr>
                          <w:rFonts w:ascii="Arial" w:hAnsi="Arial" w:cs="Arial"/>
                          <w:color w:val="222222"/>
                          <w:kern w:val="0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222222"/>
                          <w:kern w:val="0"/>
                          <w:sz w:val="16"/>
                          <w:szCs w:val="16"/>
                        </w:rPr>
                        <w:t>The AK-LF2000 Series Dual-Spectrum Integrated PTZ Camera is a high-performance camera specifically designed and developed for special applications, heat source monitoring, and long-range day/night surveillance.</w:t>
                      </w:r>
                    </w:p>
                    <w:p w14:paraId="7D4AD93A">
                      <w:pPr>
                        <w:widowControl/>
                        <w:ind w:firstLine="320" w:firstLineChars="200"/>
                        <w:rPr>
                          <w:rFonts w:hint="default" w:ascii="Arial" w:hAnsi="Arial" w:eastAsia="宋体" w:cs="Arial"/>
                          <w:color w:val="222222"/>
                          <w:kern w:val="0"/>
                          <w:sz w:val="16"/>
                          <w:szCs w:val="16"/>
                          <w:lang w:val="en-US" w:eastAsia="zh-CN" w:bidi="ar-SA"/>
                        </w:rPr>
                      </w:pPr>
                      <w:r>
                        <w:rPr>
                          <w:rFonts w:hint="default" w:ascii="Arial" w:hAnsi="Arial" w:eastAsia="宋体" w:cs="Arial"/>
                          <w:color w:val="222222"/>
                          <w:kern w:val="0"/>
                          <w:sz w:val="16"/>
                          <w:szCs w:val="16"/>
                          <w:lang w:val="en-US" w:eastAsia="zh-CN" w:bidi="ar-SA"/>
                        </w:rPr>
                        <w:t>The product is based on the latest opto-mechatronic integration technologies: 6th generation uncooled infrared imaging technology, high-definition visible light imaging technology, high-speed precision small gimbal technology, edge computing (AI front-end) technology, and high-level field protection technology. This enables the device to "see far," "see clearly," and "understand what it sees" even in harsh outdoor environments.</w:t>
                      </w:r>
                    </w:p>
                    <w:p w14:paraId="0F6E5E87">
                      <w:pPr>
                        <w:widowControl/>
                        <w:ind w:firstLine="320" w:firstLineChars="200"/>
                        <w:rPr>
                          <w:rFonts w:hint="default" w:ascii="Arial" w:hAnsi="Arial" w:eastAsia="宋体" w:cs="Arial"/>
                          <w:color w:val="222222"/>
                          <w:kern w:val="0"/>
                          <w:sz w:val="16"/>
                          <w:szCs w:val="16"/>
                          <w:lang w:val="en-US" w:eastAsia="zh-CN" w:bidi="ar-SA"/>
                        </w:rPr>
                      </w:pPr>
                      <w:r>
                        <w:rPr>
                          <w:rFonts w:hint="default" w:ascii="Arial" w:hAnsi="Arial" w:eastAsia="宋体" w:cs="Arial"/>
                          <w:color w:val="222222"/>
                          <w:kern w:val="0"/>
                          <w:sz w:val="16"/>
                          <w:szCs w:val="16"/>
                          <w:lang w:val="en-US" w:eastAsia="zh-CN" w:bidi="ar-SA"/>
                        </w:rPr>
                        <w:t>The thermal imager uses a high-sensitivity, ultra-high resolution uncooled detector, an athermalized compact infrared lens, and advanced image processing algorithms to provide smooth, detailed images. The visible light camera uses an integrated full-HD color/black-and-white dual-mode low-illumination core. The overall unit is small and lightweight, bringing great convenience to user installation and application. It is complemented by a 360° omnidirectional no-blind-spot high-speed PTZ, enabling target search over distances up to 5km. An embedded industrial-grade control system achieves highly stable control of the camera's zoom, focus, mode switching, and PTZ tilt/pan movements.</w:t>
                      </w:r>
                    </w:p>
                    <w:p w14:paraId="5FFE866A">
                      <w:pPr>
                        <w:widowControl/>
                        <w:ind w:firstLine="320" w:firstLineChars="200"/>
                        <w:rPr>
                          <w:rFonts w:hint="default" w:ascii="Arial" w:hAnsi="Arial" w:eastAsia="宋体" w:cs="Arial"/>
                          <w:color w:val="222222"/>
                          <w:kern w:val="0"/>
                          <w:sz w:val="16"/>
                          <w:szCs w:val="16"/>
                          <w:lang w:val="en-US" w:eastAsia="zh-CN" w:bidi="ar-SA"/>
                        </w:rPr>
                      </w:pPr>
                      <w:r>
                        <w:rPr>
                          <w:rFonts w:hint="default" w:ascii="Arial" w:hAnsi="Arial" w:eastAsia="宋体" w:cs="Arial"/>
                          <w:color w:val="222222"/>
                          <w:kern w:val="0"/>
                          <w:sz w:val="16"/>
                          <w:szCs w:val="16"/>
                          <w:lang w:val="en-US" w:eastAsia="zh-CN" w:bidi="ar-SA"/>
                        </w:rPr>
                        <w:t>The AK-LF2000 series housing is made of high-strength aluminum alloy, featuring a robust and fully sealed structure, achieving an IP67 protection rating. The surface is coated for oxidation resistance and anti-salt fog protection, ensuring long-term stable operation in harsh outdoor environments.</w:t>
                      </w:r>
                    </w:p>
                    <w:p w14:paraId="360E51D1">
                      <w:pPr>
                        <w:widowControl/>
                        <w:ind w:firstLine="320" w:firstLineChars="200"/>
                        <w:rPr>
                          <w:rFonts w:ascii="Arial" w:hAnsi="Arial" w:cs="Arial"/>
                          <w:color w:val="222222"/>
                          <w:kern w:val="0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6946DDDF">
      <w:pPr>
        <w:pStyle w:val="4"/>
        <w:jc w:val="both"/>
        <w:rPr>
          <w:rStyle w:val="8"/>
          <w:rFonts w:ascii="Arial" w:hAnsi="黑体" w:eastAsia="黑体" w:cs="Arial"/>
          <w:color w:val="FFFFFF"/>
          <w:sz w:val="21"/>
          <w:szCs w:val="21"/>
          <w:shd w:val="clear" w:color="auto" w:fill="000000"/>
        </w:rPr>
      </w:pPr>
      <w:r>
        <w:rPr>
          <w:rFonts w:hint="eastAsia"/>
          <w:lang w:val="en-US" w:eastAsia="zh-CN"/>
        </w:rPr>
        <w:t xml:space="preserve"> </w:t>
      </w:r>
    </w:p>
    <w:p w14:paraId="05FB7EB4">
      <w:pPr>
        <w:pStyle w:val="5"/>
        <w:spacing w:after="156" w:afterLines="50"/>
        <w:jc w:val="both"/>
        <w:rPr>
          <w:rStyle w:val="8"/>
          <w:rFonts w:ascii="Arial" w:hAnsi="黑体" w:eastAsia="黑体" w:cs="Arial"/>
          <w:color w:val="FFFFFF"/>
          <w:sz w:val="21"/>
          <w:szCs w:val="21"/>
          <w:shd w:val="clear" w:color="auto" w:fill="000000"/>
        </w:rPr>
      </w:pPr>
      <w:r>
        <w:rPr>
          <w:rStyle w:val="8"/>
          <w:rFonts w:ascii="Arial" w:hAnsi="黑体" w:eastAsia="黑体" w:cs="Arial"/>
          <w:color w:val="FFFFFF"/>
          <w:sz w:val="21"/>
          <w:szCs w:val="21"/>
          <w:shd w:val="clear" w:color="auto" w:fill="000000"/>
        </w:rPr>
        <w:t>　</w:t>
      </w:r>
      <w:r>
        <w:rPr>
          <w:rFonts w:hint="eastAsia" w:ascii="黑体" w:hAnsi="黑体" w:eastAsia="黑体" w:cs="Times New Roman"/>
          <w:b/>
          <w:bCs/>
          <w:color w:val="FFFFFF" w:themeColor="background1"/>
          <w:kern w:val="2"/>
          <w:sz w:val="21"/>
          <w:szCs w:val="24"/>
          <w:shd w:val="clear" w:color="auto" w:fill="000000"/>
          <w:lang w:val="en-US" w:eastAsia="zh-CN" w:bidi="ar-SA"/>
          <w14:textFill>
            <w14:solidFill>
              <w14:schemeClr w14:val="bg1"/>
            </w14:solidFill>
          </w14:textFill>
        </w:rPr>
        <w:t>Technical Specifications</w:t>
      </w:r>
      <w:r>
        <w:rPr>
          <w:rStyle w:val="8"/>
          <w:rFonts w:ascii="Arial" w:hAnsi="黑体" w:eastAsia="黑体" w:cs="Arial"/>
          <w:color w:val="FFFFFF"/>
          <w:sz w:val="21"/>
          <w:szCs w:val="21"/>
          <w:shd w:val="clear" w:color="auto" w:fill="000000"/>
        </w:rPr>
        <w:t>　</w:t>
      </w:r>
    </w:p>
    <w:tbl>
      <w:tblPr>
        <w:tblStyle w:val="6"/>
        <w:tblW w:w="9288" w:type="dxa"/>
        <w:jc w:val="center"/>
        <w:tblBorders>
          <w:top w:val="single" w:color="808080" w:sz="6" w:space="0"/>
          <w:left w:val="none" w:color="auto" w:sz="0" w:space="0"/>
          <w:bottom w:val="single" w:color="808080" w:sz="6" w:space="0"/>
          <w:right w:val="none" w:color="auto" w:sz="0" w:space="0"/>
          <w:insideH w:val="single" w:color="808080" w:sz="6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6660"/>
      </w:tblGrid>
      <w:tr w14:paraId="3B92280A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9288" w:type="dxa"/>
            <w:gridSpan w:val="2"/>
            <w:tcBorders>
              <w:top w:val="nil"/>
            </w:tcBorders>
            <w:shd w:val="clear" w:color="C0C0C0" w:fill="auto"/>
          </w:tcPr>
          <w:p w14:paraId="1D4F12C9">
            <w:pPr>
              <w:pStyle w:val="5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</w:tc>
      </w:tr>
      <w:tr w14:paraId="500A560C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88" w:type="dxa"/>
            <w:gridSpan w:val="2"/>
            <w:shd w:val="solid" w:color="C0C0C0" w:fill="FFFFFF"/>
          </w:tcPr>
          <w:p w14:paraId="4816E24A">
            <w:pPr>
              <w:pStyle w:val="5"/>
              <w:jc w:val="both"/>
              <w:rPr>
                <w:rStyle w:val="8"/>
                <w:rFonts w:ascii="黑体" w:hAnsi="黑体" w:eastAsia="黑体" w:cs="Arial"/>
                <w:color w:val="FFFFFF"/>
                <w:sz w:val="16"/>
                <w:szCs w:val="16"/>
                <w:shd w:val="clear" w:color="auto" w:fill="000000"/>
              </w:rPr>
            </w:pPr>
            <w:r>
              <w:rPr>
                <w:rStyle w:val="8"/>
                <w:rFonts w:ascii="黑体" w:hAnsi="黑体" w:eastAsia="黑体" w:cs="Arial"/>
                <w:color w:val="FFFFFF"/>
                <w:sz w:val="16"/>
                <w:szCs w:val="16"/>
                <w:shd w:val="clear" w:color="auto" w:fill="000000"/>
              </w:rPr>
              <w:t>　 Range Indicators 　</w:t>
            </w:r>
          </w:p>
        </w:tc>
      </w:tr>
      <w:tr w14:paraId="47502AC6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30B2C4A2">
            <w:pPr>
              <w:widowControl/>
              <w:rPr>
                <w:rFonts w:ascii="宋体" w:hAnsi="宋体" w:cs="Arial"/>
                <w:color w:val="000000"/>
                <w:kern w:val="0"/>
                <w:sz w:val="16"/>
                <w:szCs w:val="16"/>
                <w:vertAlign w:val="superscript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6"/>
                <w:szCs w:val="16"/>
                <w:lang w:eastAsia="zh-CN"/>
              </w:rPr>
              <w:t>Range against a person</w:t>
            </w:r>
          </w:p>
        </w:tc>
        <w:tc>
          <w:tcPr>
            <w:tcW w:w="6660" w:type="dxa"/>
            <w:shd w:val="pct50" w:color="C0C0C0" w:fill="FFFFFF"/>
          </w:tcPr>
          <w:p w14:paraId="59323A0A">
            <w:pPr>
              <w:widowControl/>
              <w:rPr>
                <w:rFonts w:hint="default" w:ascii="宋体" w:hAnsi="宋体" w:cs="Arial"/>
                <w:bCs/>
                <w:color w:val="222222"/>
                <w:kern w:val="0"/>
                <w:sz w:val="16"/>
                <w:szCs w:val="16"/>
                <w:lang w:val="en-US"/>
              </w:rPr>
            </w:pPr>
            <w:r>
              <w:rPr>
                <w:rFonts w:hint="eastAsia" w:ascii="宋体" w:hAnsi="宋体" w:cs="Arial"/>
                <w:bCs/>
                <w:color w:val="222222"/>
                <w:kern w:val="0"/>
                <w:sz w:val="16"/>
                <w:szCs w:val="16"/>
                <w:lang w:val="en-US" w:eastAsia="zh-CN"/>
              </w:rPr>
              <w:t>Visible Light: Detection 2000m, Recognition 1000m, Identification 500m</w:t>
            </w:r>
            <w:r>
              <w:rPr>
                <w:rFonts w:hint="default" w:ascii="宋体" w:hAnsi="宋体" w:cs="Arial"/>
                <w:bCs/>
                <w:color w:val="222222"/>
                <w:kern w:val="0"/>
                <w:sz w:val="16"/>
                <w:szCs w:val="16"/>
                <w:lang w:val="en-US" w:eastAsia="zh-CN"/>
              </w:rPr>
              <w:br w:type="textWrapping"/>
            </w:r>
            <w:r>
              <w:rPr>
                <w:rFonts w:hint="default" w:ascii="宋体" w:hAnsi="宋体" w:cs="Arial"/>
                <w:bCs/>
                <w:color w:val="222222"/>
                <w:kern w:val="0"/>
                <w:sz w:val="16"/>
                <w:szCs w:val="16"/>
                <w:lang w:val="en-US" w:eastAsia="zh-CN"/>
              </w:rPr>
              <w:t>Thermal Imaging: Detection 1000m, Recognition 500m, Identification 300m</w:t>
            </w:r>
          </w:p>
        </w:tc>
      </w:tr>
      <w:tr w14:paraId="62E9756C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012D2EFE">
            <w:pPr>
              <w:widowControl/>
              <w:rPr>
                <w:rFonts w:ascii="宋体" w:hAnsi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6"/>
                <w:szCs w:val="16"/>
                <w:lang w:eastAsia="zh-CN"/>
              </w:rPr>
              <w:t>Range against a drone</w:t>
            </w:r>
          </w:p>
        </w:tc>
        <w:tc>
          <w:tcPr>
            <w:tcW w:w="6660" w:type="dxa"/>
            <w:shd w:val="pct50" w:color="C0C0C0" w:fill="FFFFFF"/>
          </w:tcPr>
          <w:p w14:paraId="02335002">
            <w:pPr>
              <w:widowControl/>
              <w:rPr>
                <w:rFonts w:ascii="宋体" w:hAnsi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Arial"/>
                <w:bCs/>
                <w:color w:val="222222"/>
                <w:kern w:val="0"/>
                <w:sz w:val="16"/>
                <w:szCs w:val="16"/>
                <w:lang w:val="en-US" w:eastAsia="zh-CN"/>
              </w:rPr>
              <w:t>Visible Light: Detection 1200m, Recognition 600m, Identification 300m</w:t>
            </w:r>
            <w:r>
              <w:rPr>
                <w:rFonts w:hint="default" w:ascii="宋体" w:hAnsi="宋体" w:cs="Arial"/>
                <w:bCs/>
                <w:color w:val="222222"/>
                <w:kern w:val="0"/>
                <w:sz w:val="16"/>
                <w:szCs w:val="16"/>
                <w:lang w:val="en-US" w:eastAsia="zh-CN"/>
              </w:rPr>
              <w:br w:type="textWrapping"/>
            </w:r>
            <w:r>
              <w:rPr>
                <w:rFonts w:hint="default" w:ascii="宋体" w:hAnsi="宋体" w:cs="Arial"/>
                <w:bCs/>
                <w:color w:val="222222"/>
                <w:kern w:val="0"/>
                <w:sz w:val="16"/>
                <w:szCs w:val="16"/>
                <w:lang w:val="en-US" w:eastAsia="zh-CN"/>
              </w:rPr>
              <w:t>Thermal Imaging: Detection 600m, Recognition 300m, Identification 150m</w:t>
            </w:r>
          </w:p>
        </w:tc>
      </w:tr>
      <w:tr w14:paraId="4CC9ED8E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88" w:type="dxa"/>
            <w:gridSpan w:val="2"/>
            <w:shd w:val="solid" w:color="C0C0C0" w:fill="FFFFFF"/>
          </w:tcPr>
          <w:p w14:paraId="21CD1F08">
            <w:pPr>
              <w:pStyle w:val="5"/>
              <w:jc w:val="both"/>
              <w:rPr>
                <w:rStyle w:val="8"/>
                <w:rFonts w:ascii="黑体" w:hAnsi="黑体" w:eastAsia="黑体"/>
                <w:color w:val="FFFFFF"/>
                <w:shd w:val="clear" w:color="auto" w:fill="000000"/>
              </w:rPr>
            </w:pPr>
            <w:r>
              <w:rPr>
                <w:rStyle w:val="8"/>
                <w:rFonts w:ascii="黑体" w:hAnsi="黑体" w:eastAsia="黑体" w:cs="Arial"/>
                <w:color w:val="FFFFFF"/>
                <w:sz w:val="16"/>
                <w:szCs w:val="16"/>
                <w:shd w:val="clear" w:color="auto" w:fill="000000"/>
              </w:rPr>
              <w:t>　 Thermal Imaging Specifications</w:t>
            </w:r>
            <w:r>
              <w:rPr>
                <w:rStyle w:val="8"/>
                <w:rFonts w:ascii="黑体" w:hAnsi="黑体" w:eastAsia="黑体" w:cs="Arial"/>
                <w:color w:val="FFFFFF"/>
                <w:sz w:val="16"/>
                <w:szCs w:val="16"/>
                <w:shd w:val="clear" w:color="auto" w:fill="000000"/>
              </w:rPr>
              <w:t xml:space="preserve"> 　</w:t>
            </w:r>
          </w:p>
        </w:tc>
      </w:tr>
      <w:tr w14:paraId="4EDD3739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70829043">
            <w:pPr>
              <w:widowControl/>
              <w:rPr>
                <w:rFonts w:hint="eastAsia" w:ascii="宋体" w:hAnsi="宋体" w:cs="Arial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Detector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16A85CB1">
            <w:pPr>
              <w:widowControl/>
              <w:rPr>
                <w:rFonts w:hint="eastAsia" w:ascii="宋体" w:hAnsi="宋体" w:cs="Arial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6th Gen Uncooled Detector, Wavelength 7-14μm, Array 640×512</w:t>
            </w:r>
          </w:p>
        </w:tc>
      </w:tr>
      <w:tr w14:paraId="129074B6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673A8375">
            <w:pPr>
              <w:widowControl/>
              <w:rPr>
                <w:rFonts w:hint="eastAsia" w:ascii="宋体" w:hAnsi="宋体" w:cs="Arial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NETD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695764DB">
            <w:pPr>
              <w:widowControl/>
              <w:rPr>
                <w:rFonts w:hint="eastAsia" w:ascii="宋体" w:hAnsi="宋体" w:cs="Arial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&lt;35mK (@25°C F1.0)</w:t>
            </w:r>
          </w:p>
        </w:tc>
      </w:tr>
      <w:tr w14:paraId="1862A10B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616AC75C">
            <w:pPr>
              <w:widowControl/>
              <w:rPr>
                <w:rFonts w:hint="eastAsia" w:ascii="宋体" w:hAnsi="宋体" w:cs="Arial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Lens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54657A44">
            <w:pPr>
              <w:widowControl/>
              <w:rPr>
                <w:rFonts w:hint="eastAsia" w:ascii="宋体" w:hAnsi="宋体" w:cs="Arial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Fixed focal length, F1.2, 50mm</w:t>
            </w:r>
          </w:p>
        </w:tc>
      </w:tr>
      <w:tr w14:paraId="0110042D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4961FADF">
            <w:pPr>
              <w:widowControl/>
              <w:rPr>
                <w:rFonts w:hint="eastAsia" w:ascii="宋体" w:hAnsi="宋体" w:cs="Arial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Lens Control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5BF15CBC">
            <w:pPr>
              <w:widowControl/>
              <w:rPr>
                <w:rFonts w:hint="eastAsia" w:ascii="宋体" w:hAnsi="宋体" w:cs="Arial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Manual focus / Auto-focus (selectable)</w:t>
            </w:r>
          </w:p>
        </w:tc>
      </w:tr>
      <w:tr w14:paraId="72235044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30DA8931">
            <w:pPr>
              <w:widowControl/>
              <w:rPr>
                <w:rFonts w:hint="eastAsia" w:ascii="宋体" w:hAnsi="宋体" w:cs="Arial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Image Processing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04E24E38">
            <w:pPr>
              <w:widowControl/>
              <w:rPr>
                <w:rFonts w:hint="eastAsia" w:ascii="宋体" w:hAnsi="宋体" w:cs="Arial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16 pseudo-color images, Black-hot/White-hot polarity switching, Uniformity correction</w:t>
            </w:r>
          </w:p>
        </w:tc>
      </w:tr>
      <w:tr w14:paraId="53EBB86F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4E6E3674">
            <w:pPr>
              <w:widowControl/>
              <w:rPr>
                <w:rFonts w:hint="eastAsia" w:ascii="宋体" w:hAnsi="宋体" w:cs="Arial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Burn Protection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2844527F">
            <w:pPr>
              <w:widowControl/>
              <w:rPr>
                <w:rFonts w:hint="eastAsia" w:ascii="宋体" w:hAnsi="宋体" w:cs="Arial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Supports anti-sun burn protection</w:t>
            </w:r>
          </w:p>
        </w:tc>
      </w:tr>
      <w:tr w14:paraId="024551DD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76C329B6">
            <w:pPr>
              <w:widowControl/>
              <w:rPr>
                <w:rFonts w:hint="eastAsia" w:ascii="宋体" w:hAnsi="宋体" w:cs="Arial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Temperature Measurement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24DF6F13">
            <w:pPr>
              <w:widowControl/>
              <w:rPr>
                <w:rFonts w:hint="eastAsia" w:ascii="宋体" w:hAnsi="宋体" w:cs="Arial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Supports multi-point temperature display, threshold setting, and alarm function</w:t>
            </w:r>
          </w:p>
        </w:tc>
      </w:tr>
      <w:tr w14:paraId="4E7086C2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88" w:type="dxa"/>
            <w:gridSpan w:val="2"/>
            <w:shd w:val="solid" w:color="C0C0C0" w:fill="FFFFFF"/>
          </w:tcPr>
          <w:p w14:paraId="5FB62421">
            <w:pPr>
              <w:pStyle w:val="5"/>
              <w:jc w:val="both"/>
              <w:rPr>
                <w:rStyle w:val="8"/>
                <w:rFonts w:ascii="黑体" w:hAnsi="黑体" w:eastAsia="黑体"/>
                <w:color w:val="FFFFFF"/>
                <w:shd w:val="clear" w:color="auto" w:fill="000000"/>
              </w:rPr>
            </w:pPr>
            <w:r>
              <w:rPr>
                <w:rStyle w:val="8"/>
                <w:rFonts w:ascii="黑体" w:hAnsi="黑体" w:eastAsia="黑体" w:cs="Arial"/>
                <w:color w:val="FFFFFF"/>
                <w:sz w:val="16"/>
                <w:szCs w:val="16"/>
                <w:shd w:val="clear" w:color="auto" w:fill="000000"/>
              </w:rPr>
              <w:t xml:space="preserve">　 Visible Light Specifications　 </w:t>
            </w:r>
          </w:p>
        </w:tc>
      </w:tr>
      <w:tr w14:paraId="5394F08F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0A779FFD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Image Sensor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21F961FD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1/1.8" Low Illumination CMOS</w:t>
            </w:r>
          </w:p>
        </w:tc>
      </w:tr>
      <w:tr w14:paraId="71CC6D51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41D0D8AE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Pixels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1B82FB01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4 million</w:t>
            </w:r>
          </w:p>
        </w:tc>
      </w:tr>
      <w:tr w14:paraId="5CAE017E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399A0860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Lens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2A86316C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6.5mm ~ 240mm</w:t>
            </w:r>
          </w:p>
        </w:tc>
      </w:tr>
      <w:tr w14:paraId="7A726B02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724DDF34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Minimum Illumination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675AE8FF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Color 0.01Lux (F1.5), Black/White 0.001Lux (F1.5)</w:t>
            </w:r>
          </w:p>
        </w:tc>
      </w:tr>
      <w:tr w14:paraId="2E89BA4C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36168B18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Defog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180604B8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Electronic + Optical Dual Defog</w:t>
            </w:r>
          </w:p>
        </w:tc>
      </w:tr>
      <w:tr w14:paraId="1520B582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3673B7DB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Image Stabilization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0B16BE72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Supports gyroscope-based electronic stabilization, heat haze suppression</w:t>
            </w:r>
          </w:p>
        </w:tc>
      </w:tr>
      <w:tr w14:paraId="022F11F2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1B61C001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Image Processing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33074241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Supports 3D intelligent noise reduction, highlight suppression, wide dynamic range, frame accumulation, backlight compensation</w:t>
            </w:r>
          </w:p>
        </w:tc>
      </w:tr>
      <w:tr w14:paraId="3781E154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88" w:type="dxa"/>
            <w:gridSpan w:val="2"/>
            <w:shd w:val="solid" w:color="C0C0C0" w:fill="FFFFFF"/>
          </w:tcPr>
          <w:p w14:paraId="0CE0A0DE">
            <w:pPr>
              <w:pStyle w:val="5"/>
              <w:jc w:val="both"/>
              <w:rPr>
                <w:rStyle w:val="8"/>
                <w:rFonts w:ascii="黑体" w:hAnsi="黑体" w:eastAsia="黑体"/>
                <w:color w:val="FFFFFF"/>
                <w:shd w:val="clear" w:color="auto" w:fill="000000"/>
              </w:rPr>
            </w:pPr>
            <w:r>
              <w:rPr>
                <w:rStyle w:val="8"/>
                <w:rFonts w:ascii="黑体" w:hAnsi="黑体" w:eastAsia="黑体" w:cs="Arial"/>
                <w:color w:val="FFFFFF"/>
                <w:sz w:val="16"/>
                <w:szCs w:val="16"/>
                <w:shd w:val="clear" w:color="auto" w:fill="000000"/>
              </w:rPr>
              <w:t xml:space="preserve">　 Operation Specifications　 </w:t>
            </w:r>
          </w:p>
        </w:tc>
      </w:tr>
      <w:tr w14:paraId="33831216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1FF15F3A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Pan/Tilt Speed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1662321E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Control Speed: 0.01°/sec to 60°/sec, Preset Speed: 100°/sec</w:t>
            </w:r>
          </w:p>
        </w:tc>
      </w:tr>
      <w:tr w14:paraId="5C6B90FB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496CB4E9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Speed Levels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033E7310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64 levels, supports stepless speed control (10000 levels)</w:t>
            </w:r>
          </w:p>
        </w:tc>
      </w:tr>
      <w:tr w14:paraId="7A43ADCF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53F98371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Rotation Range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060CFE1D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Horizontal 360° continuous rotation, Vertical +90° to -90°</w:t>
            </w:r>
          </w:p>
        </w:tc>
      </w:tr>
      <w:tr w14:paraId="53A575F5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67E99B4C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Presets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43CD87B5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255 preset positions (expandable to 10000), power-off memory, not lost or deviated after power-off</w:t>
            </w:r>
          </w:p>
        </w:tc>
      </w:tr>
      <w:tr w14:paraId="1EAF631C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40F72858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Precision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187D8CF6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±0.1°</w:t>
            </w:r>
          </w:p>
        </w:tc>
      </w:tr>
      <w:tr w14:paraId="750F169D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6F5F0194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Positioning Function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40B0F2E7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Supports absolute positioning, relative positioning, and GPS information positioning</w:t>
            </w:r>
          </w:p>
        </w:tc>
      </w:tr>
      <w:tr w14:paraId="010A6FDC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50704600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3D Positioning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72415341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Supports box selection, zooming, and positioning</w:t>
            </w:r>
          </w:p>
        </w:tc>
      </w:tr>
      <w:tr w14:paraId="45A3D53D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05347202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Data Feedback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7411D5C0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Query/Active upload of azimuth angle, field of view, focal length value, focus value</w:t>
            </w:r>
          </w:p>
        </w:tc>
      </w:tr>
      <w:tr w14:paraId="17CF91BE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3889FA8F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Integration Methods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52C2BF47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Transparent channel, SDK protocol, private protocol, National Standard GB28181, ONVIF, compatible with mainstream border/coastal defense platform software</w:t>
            </w:r>
          </w:p>
        </w:tc>
      </w:tr>
      <w:tr w14:paraId="4609BAD3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88" w:type="dxa"/>
            <w:gridSpan w:val="2"/>
            <w:shd w:val="solid" w:color="C0C0C0" w:fill="FFFFFF"/>
          </w:tcPr>
          <w:p w14:paraId="7DC7E064">
            <w:pPr>
              <w:pStyle w:val="5"/>
              <w:jc w:val="both"/>
              <w:rPr>
                <w:rStyle w:val="8"/>
                <w:rFonts w:ascii="黑体" w:hAnsi="黑体" w:eastAsia="黑体"/>
                <w:color w:val="FFFFFF"/>
                <w:shd w:val="clear" w:color="auto" w:fill="000000"/>
              </w:rPr>
            </w:pPr>
            <w:r>
              <w:rPr>
                <w:rStyle w:val="8"/>
                <w:rFonts w:ascii="黑体" w:hAnsi="黑体" w:eastAsia="黑体" w:cs="Arial"/>
                <w:color w:val="FFFFFF"/>
                <w:sz w:val="16"/>
                <w:szCs w:val="16"/>
                <w:shd w:val="clear" w:color="auto" w:fill="000000"/>
              </w:rPr>
              <w:t>　 Interface Specifications 　</w:t>
            </w:r>
          </w:p>
        </w:tc>
      </w:tr>
      <w:tr w14:paraId="46D55C4D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13E0B3E5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Network Interface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7DF4F483">
            <w:pPr>
              <w:widowControl/>
              <w:rPr>
                <w:rFonts w:hint="eastAsia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1 x 100M Ethernet port</w:t>
            </w:r>
          </w:p>
        </w:tc>
      </w:tr>
      <w:tr w14:paraId="62615BC5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76C4CA30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Serial Interface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1B8044EB">
            <w:pPr>
              <w:widowControl/>
              <w:rPr>
                <w:rFonts w:hint="eastAsia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1 x RS422 interface</w:t>
            </w:r>
          </w:p>
        </w:tc>
      </w:tr>
      <w:tr w14:paraId="42A2CAAD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5B99E88D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Power Interface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314D631E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DC24V, Max power consumption 45W, Power consumption without heater 15W</w:t>
            </w:r>
          </w:p>
        </w:tc>
      </w:tr>
      <w:tr w14:paraId="22BBDE98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88" w:type="dxa"/>
            <w:gridSpan w:val="2"/>
            <w:shd w:val="solid" w:color="C0C0C0" w:fill="FFFFFF"/>
          </w:tcPr>
          <w:p w14:paraId="2200970C">
            <w:pPr>
              <w:pStyle w:val="5"/>
              <w:jc w:val="both"/>
              <w:rPr>
                <w:rStyle w:val="8"/>
                <w:rFonts w:ascii="黑体" w:hAnsi="黑体" w:eastAsia="黑体"/>
                <w:color w:val="FFFFFF"/>
                <w:shd w:val="clear" w:color="auto" w:fill="000000"/>
              </w:rPr>
            </w:pPr>
            <w:r>
              <w:rPr>
                <w:rStyle w:val="8"/>
                <w:rFonts w:ascii="黑体" w:hAnsi="黑体" w:eastAsia="黑体" w:cs="Arial"/>
                <w:color w:val="FFFFFF"/>
                <w:sz w:val="16"/>
                <w:szCs w:val="16"/>
                <w:shd w:val="clear" w:color="auto" w:fill="000000"/>
              </w:rPr>
              <w:t xml:space="preserve">　 Environmental Specifications　 </w:t>
            </w:r>
          </w:p>
        </w:tc>
      </w:tr>
      <w:tr w14:paraId="1F42071A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3CC875EB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Manual Defog/Defrost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49FF8066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On/Off</w:t>
            </w:r>
          </w:p>
        </w:tc>
      </w:tr>
      <w:tr w14:paraId="60E975DE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5487B7D3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Operating Temperature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7EF1091B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-40°C ~ 70°C</w:t>
            </w:r>
          </w:p>
        </w:tc>
      </w:tr>
      <w:tr w14:paraId="7B468C57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179A2A59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Storage Temperature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00F43661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-60°C ~ 90°C</w:t>
            </w:r>
          </w:p>
        </w:tc>
      </w:tr>
      <w:tr w14:paraId="39413384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7FA502D9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External Environment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26504F90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Humidity ≤95% RH (non-condensing), operable at altitudes up to 3500m</w:t>
            </w:r>
          </w:p>
        </w:tc>
      </w:tr>
      <w:tr w14:paraId="1C8905C2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731268F0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Temperature Control System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6CD10472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Intelligent temperature control, variable power heater, ultra-low temperature startup, automatic cooling fan</w:t>
            </w:r>
          </w:p>
        </w:tc>
      </w:tr>
      <w:tr w14:paraId="73A58DED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491465EB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Wind Resistance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2904CA7B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Normal operation at wind speeds up to 150 km/h, withstands maximum wind speeds up to 210 km/h</w:t>
            </w:r>
          </w:p>
        </w:tc>
      </w:tr>
      <w:tr w14:paraId="36C94487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22BAE1E4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Lightning &amp; Surge Protection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30AC4898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Power interface 6000V, Signal interface 4500V</w:t>
            </w:r>
          </w:p>
        </w:tc>
      </w:tr>
      <w:tr w14:paraId="7156C43D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731C8F87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Protection Rating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7526C60F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IP67</w:t>
            </w:r>
          </w:p>
        </w:tc>
      </w:tr>
      <w:tr w14:paraId="0EFD919E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5D32F365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Airtightness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2E6715E3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Maintains pressure for extended period after filling with high-pressure gas</w:t>
            </w:r>
          </w:p>
        </w:tc>
      </w:tr>
      <w:tr w14:paraId="13D60974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7A2C2050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Dimensions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52B6D673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426mm × 210mm × 236mm (L × W × H)</w:t>
            </w:r>
          </w:p>
        </w:tc>
      </w:tr>
      <w:tr w14:paraId="2452D14E">
        <w:tblPrEx>
          <w:tblBorders>
            <w:top w:val="single" w:color="808080" w:sz="6" w:space="0"/>
            <w:left w:val="none" w:color="auto" w:sz="0" w:space="0"/>
            <w:bottom w:val="single" w:color="808080" w:sz="6" w:space="0"/>
            <w:right w:val="none" w:color="auto" w:sz="0" w:space="0"/>
            <w:insideH w:val="single" w:color="80808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shd w:val="solid" w:color="C0C0C0" w:fill="FFFFFF"/>
            <w:vAlign w:val="center"/>
          </w:tcPr>
          <w:p w14:paraId="4D6276B0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Weight</w:t>
            </w:r>
          </w:p>
        </w:tc>
        <w:tc>
          <w:tcPr>
            <w:tcW w:w="6660" w:type="dxa"/>
            <w:shd w:val="pct50" w:color="C0C0C0" w:fill="FFFFFF"/>
            <w:vAlign w:val="center"/>
          </w:tcPr>
          <w:p w14:paraId="6D05B1F7">
            <w:pPr>
              <w:widowControl/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cs="Arial"/>
                <w:color w:val="000000"/>
                <w:kern w:val="0"/>
                <w:sz w:val="16"/>
                <w:szCs w:val="16"/>
                <w:lang w:val="en-US" w:eastAsia="zh-CN"/>
              </w:rPr>
              <w:t>Net weight 8KG</w:t>
            </w:r>
          </w:p>
        </w:tc>
      </w:tr>
    </w:tbl>
    <w:p w14:paraId="725C8E84">
      <w:pPr>
        <w:pStyle w:val="5"/>
        <w:jc w:val="both"/>
        <w:rPr>
          <w:rStyle w:val="8"/>
          <w:rFonts w:cs="Arial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</w:pPr>
    </w:p>
    <w:p w14:paraId="5A42961A">
      <w:pPr>
        <w:widowControl/>
        <w:rPr>
          <w:rFonts w:ascii="宋体" w:hAnsi="宋体" w:cs="宋体"/>
          <w:color w:val="222222"/>
          <w:kern w:val="0"/>
          <w:sz w:val="16"/>
          <w:szCs w:val="16"/>
        </w:rPr>
      </w:pPr>
    </w:p>
    <w:p w14:paraId="69E82406">
      <w:pPr>
        <w:widowControl/>
        <w:rPr>
          <w:rFonts w:ascii="宋体" w:hAnsi="宋体" w:cs="宋体"/>
          <w:color w:val="222222"/>
          <w:kern w:val="0"/>
          <w:sz w:val="16"/>
          <w:szCs w:val="16"/>
        </w:rPr>
      </w:pPr>
    </w:p>
    <w:p w14:paraId="33C5C342">
      <w:pPr>
        <w:widowControl/>
        <w:tabs>
          <w:tab w:val="left" w:pos="315"/>
        </w:tabs>
        <w:spacing w:after="156" w:afterLines="50"/>
        <w:ind w:left="420" w:hanging="420"/>
        <w:rPr>
          <w:rFonts w:ascii="黑体" w:hAnsi="黑体" w:eastAsia="黑体"/>
          <w:b/>
          <w:bCs/>
          <w:shd w:val="clear" w:color="auto" w:fill="000000"/>
        </w:rPr>
      </w:pPr>
      <w:r>
        <w:rPr>
          <w:rFonts w:ascii="黑体" w:hAnsi="黑体" w:eastAsia="黑体"/>
          <w:b/>
          <w:bCs/>
          <w:color w:val="FFFFFF" w:themeColor="background1"/>
          <w:shd w:val="clear" w:color="auto" w:fill="000000"/>
          <w14:textFill>
            <w14:solidFill>
              <w14:schemeClr w14:val="bg1"/>
            </w14:solidFill>
          </w14:textFill>
        </w:rPr>
        <w:tab/>
      </w:r>
      <w:r>
        <w:rPr>
          <w:rFonts w:hint="eastAsia" w:ascii="黑体" w:hAnsi="黑体" w:eastAsia="黑体" w:cs="Times New Roman"/>
          <w:b/>
          <w:bCs/>
          <w:color w:val="FFFFFF" w:themeColor="background1"/>
          <w:kern w:val="2"/>
          <w:sz w:val="21"/>
          <w:szCs w:val="24"/>
          <w:shd w:val="clear" w:color="auto" w:fill="000000"/>
          <w:lang w:val="en-US" w:eastAsia="zh-CN" w:bidi="ar-SA"/>
          <w14:textFill>
            <w14:solidFill>
              <w14:schemeClr w14:val="bg1"/>
            </w14:solidFill>
          </w14:textFill>
        </w:rPr>
        <w:t>Product Dimension Drawing</w:t>
      </w:r>
      <w:r>
        <w:rPr>
          <w:rFonts w:hint="eastAsia" w:ascii="黑体" w:hAnsi="黑体" w:eastAsia="黑体"/>
          <w:b/>
          <w:bCs/>
          <w:shd w:val="clear" w:color="auto" w:fill="000000"/>
        </w:rPr>
        <w:t xml:space="preserve"> </w:t>
      </w:r>
      <w:r>
        <w:rPr>
          <w:rFonts w:ascii="黑体" w:hAnsi="黑体" w:eastAsia="黑体"/>
          <w:b/>
          <w:bCs/>
          <w:shd w:val="clear" w:color="auto" w:fill="000000"/>
        </w:rPr>
        <w:t xml:space="preserve">  </w:t>
      </w:r>
    </w:p>
    <w:p w14:paraId="635E1DAD">
      <w:pPr>
        <w:widowControl/>
        <w:rPr>
          <w:rFonts w:ascii="宋体" w:hAnsi="宋体" w:cs="宋体"/>
          <w:color w:val="222222"/>
          <w:kern w:val="0"/>
          <w:sz w:val="16"/>
          <w:szCs w:val="16"/>
        </w:rPr>
      </w:pPr>
      <w:r>
        <w:rPr>
          <w:rFonts w:ascii="宋体" w:hAnsi="宋体" w:cs="宋体"/>
          <w:color w:val="222222"/>
          <w:kern w:val="0"/>
          <w:sz w:val="16"/>
          <w:szCs w:val="16"/>
        </w:rPr>
        <w:drawing>
          <wp:inline distT="0" distB="0" distL="0" distR="0">
            <wp:extent cx="5615940" cy="2657475"/>
            <wp:effectExtent l="0" t="0" r="3810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892E00">
      <w:pPr>
        <w:widowControl/>
        <w:rPr>
          <w:rFonts w:ascii="宋体" w:hAnsi="宋体" w:cs="宋体"/>
          <w:color w:val="222222"/>
          <w:kern w:val="0"/>
          <w:sz w:val="16"/>
          <w:szCs w:val="16"/>
        </w:rPr>
      </w:pPr>
    </w:p>
    <w:p w14:paraId="4E434C52">
      <w:pPr>
        <w:widowControl/>
        <w:rPr>
          <w:rFonts w:ascii="宋体" w:hAnsi="宋体" w:cs="宋体"/>
          <w:color w:val="222222"/>
          <w:kern w:val="0"/>
          <w:sz w:val="16"/>
          <w:szCs w:val="16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331" w:right="1531" w:bottom="1304" w:left="1531" w:header="567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var(--dsw-font-markdown-table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544593">
    <w:pPr>
      <w:tabs>
        <w:tab w:val="left" w:pos="420"/>
        <w:tab w:val="left" w:pos="840"/>
        <w:tab w:val="left" w:pos="1260"/>
        <w:tab w:val="left" w:pos="1680"/>
        <w:tab w:val="left" w:pos="2100"/>
        <w:tab w:val="left" w:pos="2520"/>
        <w:tab w:val="left" w:pos="2940"/>
        <w:tab w:val="left" w:pos="3360"/>
        <w:tab w:val="left" w:pos="3780"/>
        <w:tab w:val="left" w:pos="4200"/>
        <w:tab w:val="left" w:pos="4620"/>
        <w:tab w:val="left" w:pos="5040"/>
        <w:tab w:val="left" w:pos="5460"/>
        <w:tab w:val="left" w:pos="5880"/>
        <w:tab w:val="left" w:pos="6300"/>
        <w:tab w:val="left" w:pos="6720"/>
        <w:tab w:val="left" w:pos="7140"/>
        <w:tab w:val="left" w:pos="7560"/>
        <w:tab w:val="left" w:pos="7980"/>
        <w:tab w:val="left" w:pos="8400"/>
        <w:tab w:val="left" w:pos="8820"/>
        <w:tab w:val="left" w:pos="9240"/>
        <w:tab w:val="left" w:pos="9660"/>
        <w:tab w:val="left" w:pos="10080"/>
        <w:tab w:val="left" w:pos="10500"/>
        <w:tab w:val="left" w:pos="10920"/>
        <w:tab w:val="left" w:pos="11340"/>
        <w:tab w:val="left" w:pos="11760"/>
        <w:tab w:val="left" w:pos="12180"/>
        <w:tab w:val="left" w:pos="12600"/>
        <w:tab w:val="left" w:pos="13020"/>
        <w:tab w:val="left" w:pos="13440"/>
        <w:tab w:val="left" w:pos="13860"/>
        <w:tab w:val="left" w:pos="14280"/>
        <w:tab w:val="left" w:pos="14700"/>
        <w:tab w:val="left" w:pos="15120"/>
        <w:tab w:val="left" w:pos="15540"/>
        <w:tab w:val="left" w:pos="15960"/>
        <w:tab w:val="left" w:pos="16380"/>
        <w:tab w:val="left" w:pos="16800"/>
      </w:tabs>
      <w:rPr>
        <w:sz w:val="10"/>
        <w:szCs w:val="14"/>
        <w:u w:val="single"/>
      </w:rPr>
    </w:pPr>
    <w:r>
      <w:rPr>
        <w:rFonts w:hint="eastAsia"/>
        <w:sz w:val="10"/>
        <w:szCs w:val="14"/>
        <w:u w:val="single"/>
      </w:rPr>
      <w:t xml:space="preserve">                                                                                                                                                                                   </w:t>
    </w:r>
  </w:p>
  <w:p w14:paraId="7F161F2E">
    <w:pPr>
      <w:pStyle w:val="3"/>
      <w:framePr w:wrap="around" w:vAnchor="text" w:hAnchor="page" w:x="5852" w:y="455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2</w:t>
    </w:r>
    <w:r>
      <w:fldChar w:fldCharType="end"/>
    </w:r>
  </w:p>
  <w:p w14:paraId="6EA3DC41">
    <w:pPr>
      <w:tabs>
        <w:tab w:val="left" w:pos="420"/>
        <w:tab w:val="left" w:pos="840"/>
        <w:tab w:val="left" w:pos="1260"/>
        <w:tab w:val="left" w:pos="1680"/>
        <w:tab w:val="left" w:pos="2100"/>
        <w:tab w:val="left" w:pos="2520"/>
        <w:tab w:val="left" w:pos="2940"/>
        <w:tab w:val="left" w:pos="3360"/>
        <w:tab w:val="left" w:pos="3780"/>
        <w:tab w:val="left" w:pos="4200"/>
        <w:tab w:val="left" w:pos="4620"/>
        <w:tab w:val="left" w:pos="5040"/>
        <w:tab w:val="left" w:pos="5460"/>
        <w:tab w:val="left" w:pos="5880"/>
        <w:tab w:val="left" w:pos="6300"/>
        <w:tab w:val="left" w:pos="6720"/>
        <w:tab w:val="left" w:pos="7140"/>
        <w:tab w:val="left" w:pos="7560"/>
        <w:tab w:val="left" w:pos="7980"/>
        <w:tab w:val="left" w:pos="8400"/>
        <w:tab w:val="left" w:pos="8820"/>
        <w:tab w:val="left" w:pos="9240"/>
        <w:tab w:val="left" w:pos="9660"/>
        <w:tab w:val="left" w:pos="10080"/>
        <w:tab w:val="left" w:pos="10500"/>
        <w:tab w:val="left" w:pos="10920"/>
        <w:tab w:val="left" w:pos="11340"/>
        <w:tab w:val="left" w:pos="11760"/>
        <w:tab w:val="left" w:pos="12180"/>
        <w:tab w:val="left" w:pos="12600"/>
        <w:tab w:val="left" w:pos="13020"/>
        <w:tab w:val="left" w:pos="13440"/>
        <w:tab w:val="left" w:pos="13860"/>
        <w:tab w:val="left" w:pos="14280"/>
        <w:tab w:val="left" w:pos="14700"/>
        <w:tab w:val="left" w:pos="15120"/>
        <w:tab w:val="left" w:pos="15540"/>
        <w:tab w:val="left" w:pos="15960"/>
        <w:tab w:val="left" w:pos="16380"/>
        <w:tab w:val="left" w:pos="16800"/>
      </w:tabs>
      <w:autoSpaceDE w:val="0"/>
      <w:autoSpaceDN w:val="0"/>
      <w:adjustRightInd w:val="0"/>
      <w:spacing w:before="120" w:beforeLines="50"/>
      <w:rPr>
        <w:rFonts w:ascii="宋体" w:hAnsi="宋体"/>
        <w:sz w:val="14"/>
        <w:szCs w:val="14"/>
      </w:rPr>
    </w:pPr>
    <w:r>
      <w:rPr>
        <w:rFonts w:hint="eastAsia"/>
      </w:rPr>
      <w:t xml:space="preserve"> 　　　　　　　　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EF2697"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 w14:paraId="54EA0A44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AFC3F2">
    <w:pPr>
      <w:pStyle w:val="2"/>
      <w:wordWrap w:val="0"/>
      <w:spacing w:line="60" w:lineRule="auto"/>
      <w:jc w:val="right"/>
      <w:rPr>
        <w:color w:val="000000"/>
        <w:sz w:val="26"/>
      </w:rPr>
    </w:pPr>
    <w:r>
      <w:rPr>
        <w:color w:val="00000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1794510</wp:posOffset>
              </wp:positionH>
              <wp:positionV relativeFrom="paragraph">
                <wp:posOffset>45085</wp:posOffset>
              </wp:positionV>
              <wp:extent cx="3745230" cy="307975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5064" cy="307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59A1CB6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rFonts w:hint="eastAsia" w:ascii="Arial" w:hAnsi="Arial" w:eastAsia="黑体" w:cs="Arial"/>
                              <w:b/>
                              <w:color w:val="000000"/>
                              <w:sz w:val="24"/>
                              <w:lang w:eastAsia="zh-CN"/>
                            </w:rPr>
                            <w:t>AK-LF2000</w:t>
                          </w:r>
                          <w:r>
                            <w:rPr>
                              <w:rFonts w:hint="eastAsia" w:ascii="Arial" w:hAnsi="Arial" w:eastAsia="黑体" w:cs="Arial"/>
                              <w:b/>
                              <w:color w:val="000000"/>
                              <w:sz w:val="2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ascii="Segoe UI" w:hAnsi="Segoe UI" w:eastAsia="Segoe UI" w:cs="Segoe UI"/>
                              <w:b/>
                              <w:bCs/>
                              <w:i w:val="0"/>
                              <w:iCs w:val="0"/>
                              <w:caps w:val="0"/>
                              <w:color w:val="0F1115"/>
                              <w:spacing w:val="0"/>
                              <w:sz w:val="24"/>
                              <w:szCs w:val="24"/>
                              <w:shd w:val="clear" w:fill="FFFFFF"/>
                            </w:rPr>
                            <w:t>Dual-Spectrum High-Speed PTZ Camera</w:t>
                          </w:r>
                        </w:p>
                      </w:txbxContent>
                    </wps:txbx>
                    <wps:bodyPr wrap="square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41.3pt;margin-top:3.55pt;height:24.25pt;width:294.9pt;z-index:251660288;mso-width-relative:page;mso-height-relative:page;" filled="f" stroked="f" coordsize="21600,21600" o:gfxdata="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LWj7+dYAAAAIAQAADwAAAAAAAAABACAAAAAiAAAAZHJzL2Rvd25yZXYueG1sUEsBAhQAFAAA&#10;AAgAh07iQEInLO24AQAAXgMAAA4AAAAAAAAAAQAgAAAAJQEAAGRycy9lMm9Eb2MueG1sUEsFBgAA&#10;AAAGAAYAWQEAAE8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759A1CB6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rFonts w:hint="eastAsia" w:ascii="Arial" w:hAnsi="Arial" w:eastAsia="黑体" w:cs="Arial"/>
                        <w:b/>
                        <w:color w:val="000000"/>
                        <w:sz w:val="24"/>
                        <w:lang w:eastAsia="zh-CN"/>
                      </w:rPr>
                      <w:t>AK-LF2000</w:t>
                    </w:r>
                    <w:r>
                      <w:rPr>
                        <w:rFonts w:hint="eastAsia" w:ascii="Arial" w:hAnsi="Arial" w:eastAsia="黑体" w:cs="Arial"/>
                        <w:b/>
                        <w:color w:val="000000"/>
                        <w:sz w:val="24"/>
                        <w:lang w:val="en-US" w:eastAsia="zh-CN"/>
                      </w:rPr>
                      <w:t xml:space="preserve"> </w:t>
                    </w:r>
                    <w:r>
                      <w:rPr>
                        <w:rFonts w:ascii="Segoe UI" w:hAnsi="Segoe UI" w:eastAsia="Segoe UI" w:cs="Segoe UI"/>
                        <w:b/>
                        <w:bCs/>
                        <w:i w:val="0"/>
                        <w:iCs w:val="0"/>
                        <w:caps w:val="0"/>
                        <w:color w:val="0F1115"/>
                        <w:spacing w:val="0"/>
                        <w:sz w:val="24"/>
                        <w:szCs w:val="24"/>
                        <w:shd w:val="clear" w:fill="FFFFFF"/>
                      </w:rPr>
                      <w:t>Dual-Spectrum High-Speed PTZ Camera</w:t>
                    </w:r>
                  </w:p>
                </w:txbxContent>
              </v:textbox>
            </v:shape>
          </w:pict>
        </mc:Fallback>
      </mc:AlternateContent>
    </w:r>
    <w:r>
      <w:rPr>
        <w:color w:val="00000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405130</wp:posOffset>
              </wp:positionV>
              <wp:extent cx="5600700" cy="0"/>
              <wp:effectExtent l="0" t="19050" r="19050" b="19050"/>
              <wp:wrapNone/>
              <wp:docPr id="12" name="直接连接符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00700" cy="0"/>
                      </a:xfrm>
                      <a:prstGeom prst="line">
                        <a:avLst/>
                      </a:prstGeom>
                      <a:ln w="44450" cap="flat" cmpd="sng">
                        <a:solidFill>
                          <a:srgbClr val="333399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31.9pt;height:0pt;width:441pt;z-index:251661312;mso-width-relative:page;mso-height-relative:page;" filled="f" stroked="t" coordsize="21600,21600" o:gfxdata="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u&#10;0XT60wAAAAYBAAAPAAAAAAAAAAEAIAAAACIAAABkcnMvZG93bnJldi54bWxQSwECFAAUAAAACACH&#10;TuJAkJksZPABAADbAwAADgAAAAAAAAABACAAAAAiAQAAZHJzL2Uyb0RvYy54bWxQSwUGAAAAAAYA&#10;BgBZAQAAhAUAAAAA&#10;">
              <v:fill on="f" focussize="0,0"/>
              <v:stroke weight="3.5pt" color="#333399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FA1625"/>
    <w:multiLevelType w:val="multilevel"/>
    <w:tmpl w:val="47FA1625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B6D"/>
    <w:rsid w:val="000158EC"/>
    <w:rsid w:val="00015C97"/>
    <w:rsid w:val="0001657F"/>
    <w:rsid w:val="00020AA6"/>
    <w:rsid w:val="000222DB"/>
    <w:rsid w:val="000227EF"/>
    <w:rsid w:val="00037C19"/>
    <w:rsid w:val="00047F22"/>
    <w:rsid w:val="000568EA"/>
    <w:rsid w:val="00061C9E"/>
    <w:rsid w:val="00062B31"/>
    <w:rsid w:val="00062BCE"/>
    <w:rsid w:val="0006618D"/>
    <w:rsid w:val="000713F2"/>
    <w:rsid w:val="00076FF6"/>
    <w:rsid w:val="000771ED"/>
    <w:rsid w:val="0008582D"/>
    <w:rsid w:val="00086F60"/>
    <w:rsid w:val="00091ABC"/>
    <w:rsid w:val="00092393"/>
    <w:rsid w:val="0009377A"/>
    <w:rsid w:val="00094112"/>
    <w:rsid w:val="000966B7"/>
    <w:rsid w:val="000A1464"/>
    <w:rsid w:val="000A21B6"/>
    <w:rsid w:val="000B0343"/>
    <w:rsid w:val="000B686B"/>
    <w:rsid w:val="000C00E6"/>
    <w:rsid w:val="000C1724"/>
    <w:rsid w:val="000C513B"/>
    <w:rsid w:val="000D289A"/>
    <w:rsid w:val="000D4DF6"/>
    <w:rsid w:val="000D5A4B"/>
    <w:rsid w:val="000D694A"/>
    <w:rsid w:val="000E04FC"/>
    <w:rsid w:val="000E2410"/>
    <w:rsid w:val="000E6DEE"/>
    <w:rsid w:val="000F0203"/>
    <w:rsid w:val="000F549E"/>
    <w:rsid w:val="000F5672"/>
    <w:rsid w:val="001010D4"/>
    <w:rsid w:val="001068ED"/>
    <w:rsid w:val="00110687"/>
    <w:rsid w:val="001140C6"/>
    <w:rsid w:val="00116A2C"/>
    <w:rsid w:val="00122358"/>
    <w:rsid w:val="00122566"/>
    <w:rsid w:val="00122953"/>
    <w:rsid w:val="00133A30"/>
    <w:rsid w:val="0013512D"/>
    <w:rsid w:val="0013612E"/>
    <w:rsid w:val="00141EC8"/>
    <w:rsid w:val="0014230F"/>
    <w:rsid w:val="001463CD"/>
    <w:rsid w:val="0015104F"/>
    <w:rsid w:val="0015526C"/>
    <w:rsid w:val="00157C4D"/>
    <w:rsid w:val="00160732"/>
    <w:rsid w:val="0016131A"/>
    <w:rsid w:val="0017216F"/>
    <w:rsid w:val="00174F28"/>
    <w:rsid w:val="001808E2"/>
    <w:rsid w:val="00180E83"/>
    <w:rsid w:val="00193894"/>
    <w:rsid w:val="001B014B"/>
    <w:rsid w:val="001C16DC"/>
    <w:rsid w:val="001C1C34"/>
    <w:rsid w:val="001C594C"/>
    <w:rsid w:val="001C5E31"/>
    <w:rsid w:val="001D2710"/>
    <w:rsid w:val="001D4262"/>
    <w:rsid w:val="001E1E47"/>
    <w:rsid w:val="001E4BD1"/>
    <w:rsid w:val="001E4EFE"/>
    <w:rsid w:val="001F1A0D"/>
    <w:rsid w:val="001F4C12"/>
    <w:rsid w:val="001F64C7"/>
    <w:rsid w:val="00205036"/>
    <w:rsid w:val="0020705B"/>
    <w:rsid w:val="00211CA1"/>
    <w:rsid w:val="002143AE"/>
    <w:rsid w:val="00220BA7"/>
    <w:rsid w:val="00230167"/>
    <w:rsid w:val="00230984"/>
    <w:rsid w:val="00232FA9"/>
    <w:rsid w:val="00243A6F"/>
    <w:rsid w:val="00247F35"/>
    <w:rsid w:val="00260590"/>
    <w:rsid w:val="00267DB7"/>
    <w:rsid w:val="002764DD"/>
    <w:rsid w:val="00277D1A"/>
    <w:rsid w:val="00282549"/>
    <w:rsid w:val="00291AE0"/>
    <w:rsid w:val="002A14C0"/>
    <w:rsid w:val="002A1984"/>
    <w:rsid w:val="002B07CE"/>
    <w:rsid w:val="002B69CC"/>
    <w:rsid w:val="002B7781"/>
    <w:rsid w:val="002C1275"/>
    <w:rsid w:val="002C28AA"/>
    <w:rsid w:val="002C50CA"/>
    <w:rsid w:val="002C6CDD"/>
    <w:rsid w:val="002D3388"/>
    <w:rsid w:val="002F0601"/>
    <w:rsid w:val="002F5882"/>
    <w:rsid w:val="002F7920"/>
    <w:rsid w:val="00300F59"/>
    <w:rsid w:val="00301599"/>
    <w:rsid w:val="00301972"/>
    <w:rsid w:val="0030341E"/>
    <w:rsid w:val="003049B1"/>
    <w:rsid w:val="003057F1"/>
    <w:rsid w:val="00306273"/>
    <w:rsid w:val="003067AA"/>
    <w:rsid w:val="00306BA5"/>
    <w:rsid w:val="003160B9"/>
    <w:rsid w:val="00320DBA"/>
    <w:rsid w:val="00327281"/>
    <w:rsid w:val="00331B8F"/>
    <w:rsid w:val="003376C9"/>
    <w:rsid w:val="00347C99"/>
    <w:rsid w:val="0035426D"/>
    <w:rsid w:val="00356B88"/>
    <w:rsid w:val="00362883"/>
    <w:rsid w:val="00363905"/>
    <w:rsid w:val="003648E5"/>
    <w:rsid w:val="003740AD"/>
    <w:rsid w:val="003823CB"/>
    <w:rsid w:val="00382496"/>
    <w:rsid w:val="003A6E8D"/>
    <w:rsid w:val="003A7BDD"/>
    <w:rsid w:val="003B1634"/>
    <w:rsid w:val="003B1A5A"/>
    <w:rsid w:val="003C1645"/>
    <w:rsid w:val="003C6943"/>
    <w:rsid w:val="003D0171"/>
    <w:rsid w:val="003D0851"/>
    <w:rsid w:val="003D4DB0"/>
    <w:rsid w:val="003D5775"/>
    <w:rsid w:val="003E46C3"/>
    <w:rsid w:val="003F0703"/>
    <w:rsid w:val="003F2085"/>
    <w:rsid w:val="003F465A"/>
    <w:rsid w:val="003F4725"/>
    <w:rsid w:val="00400438"/>
    <w:rsid w:val="00401142"/>
    <w:rsid w:val="00405B1C"/>
    <w:rsid w:val="00405D44"/>
    <w:rsid w:val="00407250"/>
    <w:rsid w:val="00422E21"/>
    <w:rsid w:val="004253BE"/>
    <w:rsid w:val="00427FD1"/>
    <w:rsid w:val="00435FBF"/>
    <w:rsid w:val="0044241A"/>
    <w:rsid w:val="00447B55"/>
    <w:rsid w:val="004500BA"/>
    <w:rsid w:val="00456B91"/>
    <w:rsid w:val="00464242"/>
    <w:rsid w:val="00466F44"/>
    <w:rsid w:val="004703CA"/>
    <w:rsid w:val="0047049A"/>
    <w:rsid w:val="00473134"/>
    <w:rsid w:val="00473B2B"/>
    <w:rsid w:val="00497392"/>
    <w:rsid w:val="004A56E1"/>
    <w:rsid w:val="004A778A"/>
    <w:rsid w:val="004A7C1D"/>
    <w:rsid w:val="004B2C50"/>
    <w:rsid w:val="004B3A5A"/>
    <w:rsid w:val="004B6163"/>
    <w:rsid w:val="004B7EAB"/>
    <w:rsid w:val="004C55DE"/>
    <w:rsid w:val="004D13DB"/>
    <w:rsid w:val="004D1962"/>
    <w:rsid w:val="004D4B45"/>
    <w:rsid w:val="004D774F"/>
    <w:rsid w:val="004F054C"/>
    <w:rsid w:val="004F38A0"/>
    <w:rsid w:val="004F6C06"/>
    <w:rsid w:val="00516EBF"/>
    <w:rsid w:val="00517CB4"/>
    <w:rsid w:val="00522160"/>
    <w:rsid w:val="00525908"/>
    <w:rsid w:val="00534F53"/>
    <w:rsid w:val="00536136"/>
    <w:rsid w:val="00536CE9"/>
    <w:rsid w:val="005408AD"/>
    <w:rsid w:val="00544559"/>
    <w:rsid w:val="0054599C"/>
    <w:rsid w:val="005532EE"/>
    <w:rsid w:val="00556C1C"/>
    <w:rsid w:val="00560C90"/>
    <w:rsid w:val="0056422F"/>
    <w:rsid w:val="0056691B"/>
    <w:rsid w:val="005706C7"/>
    <w:rsid w:val="00570A66"/>
    <w:rsid w:val="00574D2C"/>
    <w:rsid w:val="00581862"/>
    <w:rsid w:val="00590BFF"/>
    <w:rsid w:val="005933F0"/>
    <w:rsid w:val="00593BA3"/>
    <w:rsid w:val="00595C93"/>
    <w:rsid w:val="005972BC"/>
    <w:rsid w:val="005B3468"/>
    <w:rsid w:val="005C4942"/>
    <w:rsid w:val="005D3FD5"/>
    <w:rsid w:val="005D6F05"/>
    <w:rsid w:val="005E146E"/>
    <w:rsid w:val="005E7390"/>
    <w:rsid w:val="005F0015"/>
    <w:rsid w:val="005F4D7F"/>
    <w:rsid w:val="005F7FC5"/>
    <w:rsid w:val="00600F15"/>
    <w:rsid w:val="006100ED"/>
    <w:rsid w:val="006128F1"/>
    <w:rsid w:val="00613886"/>
    <w:rsid w:val="006150DC"/>
    <w:rsid w:val="00615F69"/>
    <w:rsid w:val="006233EC"/>
    <w:rsid w:val="0062427D"/>
    <w:rsid w:val="00625530"/>
    <w:rsid w:val="00626338"/>
    <w:rsid w:val="00631A3E"/>
    <w:rsid w:val="0063520F"/>
    <w:rsid w:val="00635501"/>
    <w:rsid w:val="00637B30"/>
    <w:rsid w:val="006403B6"/>
    <w:rsid w:val="00641FCA"/>
    <w:rsid w:val="006426E0"/>
    <w:rsid w:val="0064460D"/>
    <w:rsid w:val="00651952"/>
    <w:rsid w:val="00655104"/>
    <w:rsid w:val="00655599"/>
    <w:rsid w:val="00661DFD"/>
    <w:rsid w:val="00671FD3"/>
    <w:rsid w:val="00681C2C"/>
    <w:rsid w:val="006876FC"/>
    <w:rsid w:val="00691861"/>
    <w:rsid w:val="00694445"/>
    <w:rsid w:val="006953A8"/>
    <w:rsid w:val="006A2AB9"/>
    <w:rsid w:val="006A4B39"/>
    <w:rsid w:val="006B2D10"/>
    <w:rsid w:val="006C03F2"/>
    <w:rsid w:val="006C1C78"/>
    <w:rsid w:val="006C7B1F"/>
    <w:rsid w:val="006D7A8D"/>
    <w:rsid w:val="006F1813"/>
    <w:rsid w:val="006F5E54"/>
    <w:rsid w:val="006F7AE7"/>
    <w:rsid w:val="00700498"/>
    <w:rsid w:val="00700A58"/>
    <w:rsid w:val="007079F2"/>
    <w:rsid w:val="007175E3"/>
    <w:rsid w:val="007250EE"/>
    <w:rsid w:val="00740233"/>
    <w:rsid w:val="00743609"/>
    <w:rsid w:val="007563B2"/>
    <w:rsid w:val="00770A08"/>
    <w:rsid w:val="007725F9"/>
    <w:rsid w:val="0077578A"/>
    <w:rsid w:val="00783081"/>
    <w:rsid w:val="0078562E"/>
    <w:rsid w:val="00786330"/>
    <w:rsid w:val="00794F4F"/>
    <w:rsid w:val="007A02DE"/>
    <w:rsid w:val="007B317D"/>
    <w:rsid w:val="007B5487"/>
    <w:rsid w:val="007B6AC1"/>
    <w:rsid w:val="007C3FD5"/>
    <w:rsid w:val="007D225D"/>
    <w:rsid w:val="007D4E72"/>
    <w:rsid w:val="007D5064"/>
    <w:rsid w:val="007E1A43"/>
    <w:rsid w:val="007E4722"/>
    <w:rsid w:val="007E78ED"/>
    <w:rsid w:val="007F1C7A"/>
    <w:rsid w:val="007F4462"/>
    <w:rsid w:val="00800657"/>
    <w:rsid w:val="0081172D"/>
    <w:rsid w:val="00814423"/>
    <w:rsid w:val="00815AFE"/>
    <w:rsid w:val="008326EC"/>
    <w:rsid w:val="008331D7"/>
    <w:rsid w:val="00842C61"/>
    <w:rsid w:val="008532D3"/>
    <w:rsid w:val="008676F2"/>
    <w:rsid w:val="0086774E"/>
    <w:rsid w:val="008728AD"/>
    <w:rsid w:val="00872F59"/>
    <w:rsid w:val="008768F9"/>
    <w:rsid w:val="008773C2"/>
    <w:rsid w:val="00891616"/>
    <w:rsid w:val="00892637"/>
    <w:rsid w:val="0089495A"/>
    <w:rsid w:val="00895A08"/>
    <w:rsid w:val="008972D1"/>
    <w:rsid w:val="008A486B"/>
    <w:rsid w:val="008A55C6"/>
    <w:rsid w:val="008A7078"/>
    <w:rsid w:val="008C08E9"/>
    <w:rsid w:val="008C3C16"/>
    <w:rsid w:val="008C6DCE"/>
    <w:rsid w:val="008C7667"/>
    <w:rsid w:val="008D14C9"/>
    <w:rsid w:val="008D734D"/>
    <w:rsid w:val="008E3F49"/>
    <w:rsid w:val="008E4950"/>
    <w:rsid w:val="008F003B"/>
    <w:rsid w:val="008F2236"/>
    <w:rsid w:val="008F3494"/>
    <w:rsid w:val="008F48BF"/>
    <w:rsid w:val="008F6143"/>
    <w:rsid w:val="009029C5"/>
    <w:rsid w:val="009041BF"/>
    <w:rsid w:val="00906665"/>
    <w:rsid w:val="00920878"/>
    <w:rsid w:val="00922206"/>
    <w:rsid w:val="009248D0"/>
    <w:rsid w:val="0092742C"/>
    <w:rsid w:val="009361D5"/>
    <w:rsid w:val="00940B12"/>
    <w:rsid w:val="00942ED8"/>
    <w:rsid w:val="00942F25"/>
    <w:rsid w:val="00945577"/>
    <w:rsid w:val="00946B58"/>
    <w:rsid w:val="00957988"/>
    <w:rsid w:val="009612D5"/>
    <w:rsid w:val="009674EE"/>
    <w:rsid w:val="00970983"/>
    <w:rsid w:val="00971F94"/>
    <w:rsid w:val="00974156"/>
    <w:rsid w:val="00981430"/>
    <w:rsid w:val="009870A7"/>
    <w:rsid w:val="00990E39"/>
    <w:rsid w:val="0099323A"/>
    <w:rsid w:val="009A2CE1"/>
    <w:rsid w:val="009A3B03"/>
    <w:rsid w:val="009B3455"/>
    <w:rsid w:val="009B70E2"/>
    <w:rsid w:val="009C01D4"/>
    <w:rsid w:val="009C6577"/>
    <w:rsid w:val="009C7354"/>
    <w:rsid w:val="009D2DFB"/>
    <w:rsid w:val="009D3C39"/>
    <w:rsid w:val="009D5B83"/>
    <w:rsid w:val="009D5CA0"/>
    <w:rsid w:val="009E123F"/>
    <w:rsid w:val="009E173C"/>
    <w:rsid w:val="009E4E90"/>
    <w:rsid w:val="009E615B"/>
    <w:rsid w:val="009F5513"/>
    <w:rsid w:val="00A03873"/>
    <w:rsid w:val="00A13950"/>
    <w:rsid w:val="00A16311"/>
    <w:rsid w:val="00A26FC6"/>
    <w:rsid w:val="00A30FA1"/>
    <w:rsid w:val="00A320BF"/>
    <w:rsid w:val="00A329CA"/>
    <w:rsid w:val="00A36C51"/>
    <w:rsid w:val="00A42878"/>
    <w:rsid w:val="00A43ED2"/>
    <w:rsid w:val="00A51788"/>
    <w:rsid w:val="00A556AF"/>
    <w:rsid w:val="00A55E72"/>
    <w:rsid w:val="00A6160C"/>
    <w:rsid w:val="00A739BC"/>
    <w:rsid w:val="00A90D7E"/>
    <w:rsid w:val="00A95799"/>
    <w:rsid w:val="00AA1D16"/>
    <w:rsid w:val="00AA259F"/>
    <w:rsid w:val="00AA3734"/>
    <w:rsid w:val="00AB006B"/>
    <w:rsid w:val="00AB08DD"/>
    <w:rsid w:val="00AB1B7A"/>
    <w:rsid w:val="00AB5DDB"/>
    <w:rsid w:val="00AB665A"/>
    <w:rsid w:val="00AC0FC1"/>
    <w:rsid w:val="00AC2B7F"/>
    <w:rsid w:val="00AC5776"/>
    <w:rsid w:val="00AD349C"/>
    <w:rsid w:val="00AD432D"/>
    <w:rsid w:val="00AD47CC"/>
    <w:rsid w:val="00AD73DC"/>
    <w:rsid w:val="00AE09B5"/>
    <w:rsid w:val="00AE41E6"/>
    <w:rsid w:val="00AF1018"/>
    <w:rsid w:val="00AF129B"/>
    <w:rsid w:val="00AF376B"/>
    <w:rsid w:val="00AF51E4"/>
    <w:rsid w:val="00B001B5"/>
    <w:rsid w:val="00B0561D"/>
    <w:rsid w:val="00B076F3"/>
    <w:rsid w:val="00B21B36"/>
    <w:rsid w:val="00B25CF5"/>
    <w:rsid w:val="00B37D5A"/>
    <w:rsid w:val="00B4130E"/>
    <w:rsid w:val="00B41D4F"/>
    <w:rsid w:val="00B46B76"/>
    <w:rsid w:val="00B51237"/>
    <w:rsid w:val="00B568D4"/>
    <w:rsid w:val="00B56B6D"/>
    <w:rsid w:val="00B661B3"/>
    <w:rsid w:val="00B8345E"/>
    <w:rsid w:val="00B91BEA"/>
    <w:rsid w:val="00B91CD7"/>
    <w:rsid w:val="00B94288"/>
    <w:rsid w:val="00B978CD"/>
    <w:rsid w:val="00BA0349"/>
    <w:rsid w:val="00BA3EED"/>
    <w:rsid w:val="00BA7FBF"/>
    <w:rsid w:val="00BB0605"/>
    <w:rsid w:val="00BB7DF0"/>
    <w:rsid w:val="00BC11AA"/>
    <w:rsid w:val="00BC5B48"/>
    <w:rsid w:val="00BD048D"/>
    <w:rsid w:val="00BE02DB"/>
    <w:rsid w:val="00BF03DA"/>
    <w:rsid w:val="00BF3969"/>
    <w:rsid w:val="00C07277"/>
    <w:rsid w:val="00C115BA"/>
    <w:rsid w:val="00C133E7"/>
    <w:rsid w:val="00C15E8E"/>
    <w:rsid w:val="00C30C68"/>
    <w:rsid w:val="00C44E86"/>
    <w:rsid w:val="00C466AE"/>
    <w:rsid w:val="00C46771"/>
    <w:rsid w:val="00C46CA6"/>
    <w:rsid w:val="00C50823"/>
    <w:rsid w:val="00C52D28"/>
    <w:rsid w:val="00C5347E"/>
    <w:rsid w:val="00C57326"/>
    <w:rsid w:val="00C57379"/>
    <w:rsid w:val="00C65351"/>
    <w:rsid w:val="00C71A2F"/>
    <w:rsid w:val="00C76A94"/>
    <w:rsid w:val="00C770F7"/>
    <w:rsid w:val="00C77414"/>
    <w:rsid w:val="00C77E41"/>
    <w:rsid w:val="00C86AC1"/>
    <w:rsid w:val="00C942C8"/>
    <w:rsid w:val="00C94CA2"/>
    <w:rsid w:val="00CA4FB6"/>
    <w:rsid w:val="00CC4A14"/>
    <w:rsid w:val="00CC6336"/>
    <w:rsid w:val="00CD2B02"/>
    <w:rsid w:val="00CD569F"/>
    <w:rsid w:val="00CD5986"/>
    <w:rsid w:val="00CE1C35"/>
    <w:rsid w:val="00CE6AE8"/>
    <w:rsid w:val="00CF0057"/>
    <w:rsid w:val="00CF1045"/>
    <w:rsid w:val="00CF725F"/>
    <w:rsid w:val="00D04101"/>
    <w:rsid w:val="00D108A7"/>
    <w:rsid w:val="00D1191E"/>
    <w:rsid w:val="00D12E48"/>
    <w:rsid w:val="00D1595B"/>
    <w:rsid w:val="00D16A5F"/>
    <w:rsid w:val="00D20D23"/>
    <w:rsid w:val="00D32EF7"/>
    <w:rsid w:val="00D345A5"/>
    <w:rsid w:val="00D3608B"/>
    <w:rsid w:val="00D43117"/>
    <w:rsid w:val="00D56CD2"/>
    <w:rsid w:val="00D61919"/>
    <w:rsid w:val="00D65F07"/>
    <w:rsid w:val="00D66F04"/>
    <w:rsid w:val="00D71306"/>
    <w:rsid w:val="00D83691"/>
    <w:rsid w:val="00D93442"/>
    <w:rsid w:val="00D96AEB"/>
    <w:rsid w:val="00D974E8"/>
    <w:rsid w:val="00DA39FF"/>
    <w:rsid w:val="00DA508C"/>
    <w:rsid w:val="00DA5EF5"/>
    <w:rsid w:val="00DB1745"/>
    <w:rsid w:val="00DB2475"/>
    <w:rsid w:val="00DB625B"/>
    <w:rsid w:val="00DC0FF4"/>
    <w:rsid w:val="00DC581B"/>
    <w:rsid w:val="00DC5DCA"/>
    <w:rsid w:val="00DD5EA5"/>
    <w:rsid w:val="00DD673D"/>
    <w:rsid w:val="00DE0652"/>
    <w:rsid w:val="00DF40B0"/>
    <w:rsid w:val="00DF7F52"/>
    <w:rsid w:val="00E01046"/>
    <w:rsid w:val="00E02A69"/>
    <w:rsid w:val="00E05752"/>
    <w:rsid w:val="00E11ABF"/>
    <w:rsid w:val="00E13CC2"/>
    <w:rsid w:val="00E1713C"/>
    <w:rsid w:val="00E231E7"/>
    <w:rsid w:val="00E25FA7"/>
    <w:rsid w:val="00E263BB"/>
    <w:rsid w:val="00E3028B"/>
    <w:rsid w:val="00E37BF0"/>
    <w:rsid w:val="00E40A6A"/>
    <w:rsid w:val="00E40CB0"/>
    <w:rsid w:val="00E4293C"/>
    <w:rsid w:val="00E53CF6"/>
    <w:rsid w:val="00E55884"/>
    <w:rsid w:val="00E55918"/>
    <w:rsid w:val="00E60A71"/>
    <w:rsid w:val="00E70E46"/>
    <w:rsid w:val="00E72EDE"/>
    <w:rsid w:val="00E84B4A"/>
    <w:rsid w:val="00E863A2"/>
    <w:rsid w:val="00E92CCF"/>
    <w:rsid w:val="00E930C3"/>
    <w:rsid w:val="00E94627"/>
    <w:rsid w:val="00E96B2F"/>
    <w:rsid w:val="00E972A8"/>
    <w:rsid w:val="00E97373"/>
    <w:rsid w:val="00E977A1"/>
    <w:rsid w:val="00EA0EB3"/>
    <w:rsid w:val="00EA2B69"/>
    <w:rsid w:val="00EB1A0E"/>
    <w:rsid w:val="00EC28BC"/>
    <w:rsid w:val="00EC342A"/>
    <w:rsid w:val="00EC6F28"/>
    <w:rsid w:val="00ED197B"/>
    <w:rsid w:val="00EE06BB"/>
    <w:rsid w:val="00EE2705"/>
    <w:rsid w:val="00EE4705"/>
    <w:rsid w:val="00EE4931"/>
    <w:rsid w:val="00EE691D"/>
    <w:rsid w:val="00EF0200"/>
    <w:rsid w:val="00EF1561"/>
    <w:rsid w:val="00F05323"/>
    <w:rsid w:val="00F057B4"/>
    <w:rsid w:val="00F06E34"/>
    <w:rsid w:val="00F06E38"/>
    <w:rsid w:val="00F075D1"/>
    <w:rsid w:val="00F121E0"/>
    <w:rsid w:val="00F14A28"/>
    <w:rsid w:val="00F153F0"/>
    <w:rsid w:val="00F27030"/>
    <w:rsid w:val="00F3017E"/>
    <w:rsid w:val="00F31E8F"/>
    <w:rsid w:val="00F35920"/>
    <w:rsid w:val="00F4182C"/>
    <w:rsid w:val="00F42C0C"/>
    <w:rsid w:val="00F43E80"/>
    <w:rsid w:val="00F442AA"/>
    <w:rsid w:val="00F44461"/>
    <w:rsid w:val="00F4631B"/>
    <w:rsid w:val="00F50621"/>
    <w:rsid w:val="00F60173"/>
    <w:rsid w:val="00F62ECD"/>
    <w:rsid w:val="00F63923"/>
    <w:rsid w:val="00F65F37"/>
    <w:rsid w:val="00F67C5B"/>
    <w:rsid w:val="00F72FFD"/>
    <w:rsid w:val="00F73736"/>
    <w:rsid w:val="00F805A6"/>
    <w:rsid w:val="00F91799"/>
    <w:rsid w:val="00F91B1B"/>
    <w:rsid w:val="00F93526"/>
    <w:rsid w:val="00F93AEC"/>
    <w:rsid w:val="00F93EBB"/>
    <w:rsid w:val="00FB4D94"/>
    <w:rsid w:val="00FB5F21"/>
    <w:rsid w:val="00FC213E"/>
    <w:rsid w:val="00FC766C"/>
    <w:rsid w:val="00FE0694"/>
    <w:rsid w:val="00FE349A"/>
    <w:rsid w:val="00FE45C4"/>
    <w:rsid w:val="00FE5370"/>
    <w:rsid w:val="00FF3976"/>
    <w:rsid w:val="00FF5579"/>
    <w:rsid w:val="00FF69B9"/>
    <w:rsid w:val="00FF6F15"/>
    <w:rsid w:val="02201D8C"/>
    <w:rsid w:val="0901608C"/>
    <w:rsid w:val="0CFB0AAA"/>
    <w:rsid w:val="0E1F1149"/>
    <w:rsid w:val="110611D5"/>
    <w:rsid w:val="18AC4201"/>
    <w:rsid w:val="1E0F4D36"/>
    <w:rsid w:val="20BB2F53"/>
    <w:rsid w:val="24F15196"/>
    <w:rsid w:val="251470D6"/>
    <w:rsid w:val="253B0265"/>
    <w:rsid w:val="25D074A1"/>
    <w:rsid w:val="27C01989"/>
    <w:rsid w:val="2834658C"/>
    <w:rsid w:val="2936694E"/>
    <w:rsid w:val="2B0100FD"/>
    <w:rsid w:val="2B88437A"/>
    <w:rsid w:val="2BB4642F"/>
    <w:rsid w:val="2EAB626F"/>
    <w:rsid w:val="316118F5"/>
    <w:rsid w:val="31EB21BE"/>
    <w:rsid w:val="32E42352"/>
    <w:rsid w:val="32FD6291"/>
    <w:rsid w:val="356E1016"/>
    <w:rsid w:val="3CAC3BE2"/>
    <w:rsid w:val="422B3449"/>
    <w:rsid w:val="43000E42"/>
    <w:rsid w:val="43EC397A"/>
    <w:rsid w:val="45A831F7"/>
    <w:rsid w:val="47B24801"/>
    <w:rsid w:val="4A9B332A"/>
    <w:rsid w:val="4B7C315C"/>
    <w:rsid w:val="4C6D25C8"/>
    <w:rsid w:val="4CFB27A6"/>
    <w:rsid w:val="5268268C"/>
    <w:rsid w:val="555869E7"/>
    <w:rsid w:val="592C098B"/>
    <w:rsid w:val="59CA7788"/>
    <w:rsid w:val="61730154"/>
    <w:rsid w:val="6B4F3F91"/>
    <w:rsid w:val="6C8934D3"/>
    <w:rsid w:val="6DD30EA9"/>
    <w:rsid w:val="769B008A"/>
    <w:rsid w:val="774150D6"/>
    <w:rsid w:val="79F71A7C"/>
    <w:rsid w:val="7EAD1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nhideWhenUsed="0" w:uiPriority="0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iPriority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7"/>
    <w:basedOn w:val="1"/>
    <w:next w:val="1"/>
    <w:link w:val="10"/>
    <w:qFormat/>
    <w:uiPriority w:val="0"/>
    <w:pPr>
      <w:keepNext/>
      <w:outlineLvl w:val="6"/>
    </w:pPr>
    <w:rPr>
      <w:rFonts w:ascii="Arial" w:hAnsi="Arial" w:cs="Arial"/>
      <w:b/>
      <w:bCs/>
      <w:color w:val="710320"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character" w:styleId="8">
    <w:name w:val="Strong"/>
    <w:qFormat/>
    <w:uiPriority w:val="0"/>
    <w:rPr>
      <w:b/>
      <w:bCs/>
    </w:rPr>
  </w:style>
  <w:style w:type="character" w:styleId="9">
    <w:name w:val="page number"/>
    <w:basedOn w:val="7"/>
    <w:qFormat/>
    <w:uiPriority w:val="0"/>
  </w:style>
  <w:style w:type="character" w:customStyle="1" w:styleId="10">
    <w:name w:val="标题 7 字符"/>
    <w:basedOn w:val="7"/>
    <w:link w:val="2"/>
    <w:qFormat/>
    <w:uiPriority w:val="0"/>
    <w:rPr>
      <w:rFonts w:ascii="Arial" w:hAnsi="Arial" w:cs="Arial"/>
      <w:b/>
      <w:bCs/>
      <w:color w:val="710320"/>
      <w:kern w:val="2"/>
      <w:sz w:val="32"/>
      <w:szCs w:val="24"/>
    </w:rPr>
  </w:style>
  <w:style w:type="character" w:customStyle="1" w:styleId="11">
    <w:name w:val="页脚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12">
    <w:name w:val="页眉 字符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760</Words>
  <Characters>944</Characters>
  <Lines>12</Lines>
  <Paragraphs>3</Paragraphs>
  <TotalTime>3</TotalTime>
  <ScaleCrop>false</ScaleCrop>
  <LinksUpToDate>false</LinksUpToDate>
  <CharactersWithSpaces>981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2022-08-26T13:58:00Z</dcterms:created>
  <dc:creator>master</dc:creator>
  <cp:lastModifiedBy>飞爷</cp:lastModifiedBy>
  <dcterms:modified xsi:type="dcterms:W3CDTF">2026-06-04T03:17:51Z</dcterms:modified>
  <cp:revision>362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eyJoZGlkIjoiMzAwYTBkYTlmNWY4MDk4NjQ1YzcwZTllYzEyMmFjNDQiLCJ1c2VySWQiOiI2MTA5NzMxMzYifQ==</vt:lpwstr>
  </property>
  <property fmtid="{D5CDD505-2E9C-101B-9397-08002B2CF9AE}" pid="3" name="KSOProductBuildVer">
    <vt:lpwstr>2052-12.1.0.26375</vt:lpwstr>
  </property>
  <property fmtid="{D5CDD505-2E9C-101B-9397-08002B2CF9AE}" pid="4" name="ICV">
    <vt:lpwstr>75D8E31F1B074C8995C986848C9857F4_13</vt:lpwstr>
  </property>
</Properties>
</file>